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5F" w:rsidRDefault="008732F5">
      <w:pPr>
        <w:spacing w:line="240" w:lineRule="auto"/>
        <w:jc w:val="both"/>
        <w:rPr>
          <w:rFonts w:ascii="Simplified Arabic" w:eastAsia="Simplified Arabic" w:hAnsi="Simplified Arabic" w:cs="Simplified Arabic"/>
          <w:b/>
          <w:sz w:val="32"/>
          <w:szCs w:val="3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1875154</wp:posOffset>
            </wp:positionH>
            <wp:positionV relativeFrom="paragraph">
              <wp:posOffset>-212270</wp:posOffset>
            </wp:positionV>
            <wp:extent cx="1981200" cy="909955"/>
            <wp:effectExtent l="0" t="0" r="0" b="0"/>
            <wp:wrapNone/>
            <wp:docPr id="2" name="image1.png" descr="C:\Users\noor\Desktop\final logo.png"/>
            <wp:cNvGraphicFramePr/>
            <a:graphic xmlns:a="http://schemas.openxmlformats.org/drawingml/2006/main">
              <a:graphicData uri="http://schemas.openxmlformats.org/drawingml/2006/picture">
                <pic:pic xmlns:pic="http://schemas.openxmlformats.org/drawingml/2006/picture">
                  <pic:nvPicPr>
                    <pic:cNvPr id="0" name="image1.png" descr="C:\Users\noor\Desktop\final logo.png"/>
                    <pic:cNvPicPr preferRelativeResize="0"/>
                  </pic:nvPicPr>
                  <pic:blipFill>
                    <a:blip r:embed="rId8"/>
                    <a:srcRect/>
                    <a:stretch>
                      <a:fillRect/>
                    </a:stretch>
                  </pic:blipFill>
                  <pic:spPr>
                    <a:xfrm>
                      <a:off x="0" y="0"/>
                      <a:ext cx="1981200" cy="909955"/>
                    </a:xfrm>
                    <a:prstGeom prst="rect">
                      <a:avLst/>
                    </a:prstGeom>
                    <a:ln/>
                  </pic:spPr>
                </pic:pic>
              </a:graphicData>
            </a:graphic>
          </wp:anchor>
        </w:drawing>
      </w:r>
    </w:p>
    <w:p w:rsidR="00CA2D5F" w:rsidRDefault="00CA2D5F">
      <w:pPr>
        <w:spacing w:line="240" w:lineRule="auto"/>
        <w:jc w:val="both"/>
        <w:rPr>
          <w:b/>
          <w:sz w:val="32"/>
          <w:szCs w:val="32"/>
        </w:rPr>
      </w:pPr>
    </w:p>
    <w:p w:rsidR="00CA2D5F" w:rsidRDefault="00CA2D5F"/>
    <w:p w:rsidR="00CA2D5F" w:rsidRDefault="008732F5">
      <w:pPr>
        <w:shd w:val="clear" w:color="auto" w:fill="DBEEF3"/>
        <w:spacing w:line="240" w:lineRule="auto"/>
        <w:jc w:val="center"/>
        <w:rPr>
          <w:b/>
        </w:rPr>
      </w:pPr>
      <w:r>
        <w:rPr>
          <w:b/>
          <w:sz w:val="32"/>
          <w:szCs w:val="32"/>
        </w:rPr>
        <w:t>Opinion Poll on the Palestinian Government’s Performance against the Coronavirus, SARS-CoV-2 (COVID-19)</w:t>
      </w:r>
    </w:p>
    <w:p w:rsidR="00CA2D5F" w:rsidRDefault="008732F5">
      <w:pPr>
        <w:shd w:val="clear" w:color="auto" w:fill="DBEEF3"/>
        <w:spacing w:line="240" w:lineRule="auto"/>
        <w:jc w:val="center"/>
        <w:rPr>
          <w:b/>
        </w:rPr>
      </w:pPr>
      <w:r>
        <w:rPr>
          <w:b/>
        </w:rPr>
        <w:t>Publication date: Tuesday, March 31, 2020</w:t>
      </w:r>
    </w:p>
    <w:p w:rsidR="00CA2D5F" w:rsidRDefault="008732F5">
      <w:pPr>
        <w:shd w:val="clear" w:color="auto" w:fill="DBEEF3"/>
        <w:spacing w:line="240" w:lineRule="auto"/>
        <w:jc w:val="center"/>
        <w:rPr>
          <w:b/>
        </w:rPr>
      </w:pPr>
      <w:r>
        <w:rPr>
          <w:b/>
        </w:rPr>
        <w:t>Date of the poll: March 28-31, 2020</w:t>
      </w:r>
    </w:p>
    <w:p w:rsidR="00CA2D5F" w:rsidRDefault="008732F5">
      <w:pPr>
        <w:shd w:val="clear" w:color="auto" w:fill="DBEEF3"/>
        <w:spacing w:line="240" w:lineRule="auto"/>
        <w:jc w:val="center"/>
        <w:rPr>
          <w:b/>
        </w:rPr>
      </w:pPr>
      <w:r>
        <w:rPr>
          <w:b/>
        </w:rPr>
        <w:t>Poll sample: 800 economically and socially active Palestinian men and women</w:t>
      </w:r>
    </w:p>
    <w:p w:rsidR="00CA2D5F" w:rsidRDefault="00CA2D5F">
      <w:pPr>
        <w:spacing w:after="0" w:line="240" w:lineRule="auto"/>
        <w:jc w:val="both"/>
        <w:rPr>
          <w:rFonts w:ascii="Simplified Arabic" w:eastAsia="Simplified Arabic" w:hAnsi="Simplified Arabic" w:cs="Simplified Arabic"/>
          <w:b/>
        </w:rPr>
      </w:pPr>
    </w:p>
    <w:p w:rsidR="00CA2D5F" w:rsidRDefault="008732F5">
      <w:pPr>
        <w:spacing w:line="240" w:lineRule="auto"/>
        <w:jc w:val="both"/>
        <w:rPr>
          <w:b/>
          <w:color w:val="7F7F7F"/>
          <w:sz w:val="32"/>
          <w:szCs w:val="32"/>
        </w:rPr>
      </w:pPr>
      <w:r>
        <w:rPr>
          <w:b/>
          <w:color w:val="7F7F7F"/>
          <w:sz w:val="32"/>
          <w:szCs w:val="32"/>
        </w:rPr>
        <w:t xml:space="preserve">Introduction </w:t>
      </w:r>
    </w:p>
    <w:p w:rsidR="00CA2D5F" w:rsidRDefault="008732F5">
      <w:pPr>
        <w:spacing w:line="240" w:lineRule="auto"/>
        <w:jc w:val="both"/>
      </w:pPr>
      <w:r>
        <w:t xml:space="preserve">Arab World for Research and Development (AWRAD) presents to you the results of an opinion poll conducted among Palestinians who are considered socially and politically active (employees of the public, private, civil, and international sector; activists and community leaders; influential people such as those working in the media; university professors; youth activists and leaders of civil and feminist institutions, etc.). The poll revolved around issues related to the current situation that Palestinian society, and the world as a whole, is experiencing. In particular, the poll assesses the actions of the Palestinian National Authority and the role of all relevant bodies and individual coping mechanisms toward the COVID-19 pandemic. AWRAD will periodically monitor developments of opinion among the Palestinians through periodic and specialized surveys, with the aim of contributing to developing governmental and nongovernmental performance in combating the pandemic and enhancing social cohesion. </w:t>
      </w:r>
    </w:p>
    <w:p w:rsidR="00CA2D5F" w:rsidRDefault="00CA2D5F">
      <w:pPr>
        <w:spacing w:after="0" w:line="240" w:lineRule="auto"/>
        <w:jc w:val="both"/>
      </w:pPr>
    </w:p>
    <w:p w:rsidR="00CA2D5F" w:rsidRDefault="008732F5">
      <w:pPr>
        <w:spacing w:line="240" w:lineRule="auto"/>
        <w:jc w:val="both"/>
        <w:rPr>
          <w:b/>
          <w:color w:val="7F7F7F"/>
          <w:sz w:val="32"/>
          <w:szCs w:val="32"/>
        </w:rPr>
      </w:pPr>
      <w:r>
        <w:rPr>
          <w:b/>
          <w:color w:val="7F7F7F"/>
          <w:sz w:val="32"/>
          <w:szCs w:val="32"/>
        </w:rPr>
        <w:t xml:space="preserve">Survey Methodology </w:t>
      </w:r>
    </w:p>
    <w:p w:rsidR="00CA2D5F" w:rsidRDefault="008732F5">
      <w:pPr>
        <w:spacing w:line="240" w:lineRule="auto"/>
        <w:jc w:val="both"/>
      </w:pPr>
      <w:r>
        <w:t xml:space="preserve">The poll was conducted through an online survey, and it was answered by 800 Palestinians, 77% from the West Bank and 23% from the Gaza Strip. The breakdown of men and women was 57% and 43%, respectively. Of the sample, 30% work in the public sector, 45% in the private sector, 18% in NGOs, and 7% in international institutions. As for age distribution, 30% were 18-30 years old, 51% were 31-50 years old, and 19% were over 50. The questionnaire was presented to a wide sample of socially active Palestinians through social media platforms and groups, while ensuring the largest possible representation of all geographical regions and socio-economic variables. The survey was open for a period of more than 3 days (3/28 to morning of 3/31). There was a notable response to the questionnaire, which is attributable to the importance and urgency of the issue at hand and the widespread belief among people of the significance of their role and providing their opinions in developing the mechanisms to deal with this pandemic. </w:t>
      </w:r>
    </w:p>
    <w:p w:rsidR="00CA2D5F" w:rsidRDefault="00CA2D5F">
      <w:pPr>
        <w:spacing w:after="0" w:line="240" w:lineRule="auto"/>
        <w:jc w:val="both"/>
      </w:pPr>
    </w:p>
    <w:p w:rsidR="00CA2D5F" w:rsidRDefault="008732F5">
      <w:pPr>
        <w:spacing w:line="240" w:lineRule="auto"/>
        <w:jc w:val="both"/>
      </w:pPr>
      <w:r>
        <w:rPr>
          <w:b/>
        </w:rPr>
        <w:t>For more information or clarifications</w:t>
      </w:r>
      <w:r>
        <w:t xml:space="preserve">, please contact Dr. Nader Said (0599204527 or </w:t>
      </w:r>
      <w:hyperlink r:id="rId9">
        <w:r>
          <w:rPr>
            <w:color w:val="0000FF"/>
            <w:u w:val="single"/>
          </w:rPr>
          <w:t>nader@awrad.org</w:t>
        </w:r>
      </w:hyperlink>
      <w:r>
        <w:t xml:space="preserve">) or Samer Said (0599846183 or </w:t>
      </w:r>
      <w:hyperlink r:id="rId10">
        <w:r>
          <w:rPr>
            <w:color w:val="0000FF"/>
            <w:u w:val="single"/>
          </w:rPr>
          <w:t>samer@awrad.org</w:t>
        </w:r>
      </w:hyperlink>
      <w:r>
        <w:t xml:space="preserve">). To obtain the results in Arabic and English, visit the AWARD website: </w:t>
      </w:r>
      <w:hyperlink r:id="rId11">
        <w:r>
          <w:rPr>
            <w:color w:val="0000FF"/>
            <w:u w:val="single"/>
          </w:rPr>
          <w:t>www.awrad.org</w:t>
        </w:r>
      </w:hyperlink>
      <w:r>
        <w:t xml:space="preserve"> </w:t>
      </w:r>
    </w:p>
    <w:p w:rsidR="00CA2D5F" w:rsidRDefault="00CA2D5F">
      <w:pPr>
        <w:spacing w:line="240" w:lineRule="auto"/>
        <w:jc w:val="both"/>
      </w:pPr>
    </w:p>
    <w:p w:rsidR="00CA2D5F" w:rsidRDefault="008732F5">
      <w:pPr>
        <w:spacing w:line="240" w:lineRule="auto"/>
        <w:jc w:val="both"/>
        <w:rPr>
          <w:b/>
        </w:rPr>
      </w:pPr>
      <w:r>
        <w:br w:type="page"/>
      </w:r>
    </w:p>
    <w:p w:rsidR="00CA2D5F" w:rsidRDefault="008732F5">
      <w:pPr>
        <w:spacing w:line="240" w:lineRule="auto"/>
        <w:jc w:val="both"/>
        <w:rPr>
          <w:b/>
          <w:color w:val="7F7F7F"/>
          <w:sz w:val="32"/>
          <w:szCs w:val="32"/>
        </w:rPr>
      </w:pPr>
      <w:r>
        <w:rPr>
          <w:b/>
          <w:color w:val="7F7F7F"/>
          <w:sz w:val="32"/>
          <w:szCs w:val="32"/>
        </w:rPr>
        <w:lastRenderedPageBreak/>
        <w:t>Highlights</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82% of respondents evaluate the overall performance of the government of Dr. Shtayyeh positively, an unprecedented high evaluation.</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The positive evaluation of the government of Dr. Shtayyeh is equal in both the West Bank and the Gaza Strip and is also equal for women and men.</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The most positively evaluated measures: closing the educational institutions, asking citizens to pray at home, and the quick response.</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The less positively evaluated measures: dealing with the issue of workers in Israel and the Israeli settlements, workers’ compensation, and insufficient examination centers.</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 xml:space="preserve">The respondents gave the Ministry of Health a score of 7 out of 10, the Palestinian media 6.7, NGOs 5.5, and the private sector 4.6. </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40% of respondents expect an increase in community violence and 33% expect an increase in domestic violence.</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With the onset of the crisis; 10% stated that they had totally lost their jobs and 9% had partially lost them due to the onset of the crisis.</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30% expect to lose their jobs in the coming time period as the C</w:t>
      </w:r>
      <w:r>
        <w:t>O</w:t>
      </w:r>
      <w:r>
        <w:rPr>
          <w:color w:val="000000"/>
        </w:rPr>
        <w:t>VID-19 pandemic continues.</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71% report that family income has declined (significantly or limitedly) due to the pandemic.</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58% of women report that their household duties have increased, compared to 40% of men.</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41% of women say that childcare duties have increased, compared to 32% of men.</w:t>
      </w:r>
    </w:p>
    <w:p w:rsidR="00CA2D5F" w:rsidRDefault="008732F5">
      <w:pPr>
        <w:numPr>
          <w:ilvl w:val="0"/>
          <w:numId w:val="2"/>
        </w:numPr>
        <w:pBdr>
          <w:top w:val="nil"/>
          <w:left w:val="nil"/>
          <w:bottom w:val="nil"/>
          <w:right w:val="nil"/>
          <w:between w:val="nil"/>
        </w:pBdr>
        <w:spacing w:after="0" w:line="240" w:lineRule="auto"/>
        <w:ind w:left="360"/>
        <w:jc w:val="both"/>
        <w:rPr>
          <w:color w:val="000000"/>
        </w:rPr>
      </w:pPr>
      <w:r>
        <w:rPr>
          <w:color w:val="000000"/>
        </w:rPr>
        <w:t xml:space="preserve">59% of respondents are fully committed to the </w:t>
      </w:r>
      <w:r>
        <w:rPr>
          <w:color w:val="000000"/>
          <w:highlight w:val="white"/>
        </w:rPr>
        <w:t>government’s stay-at-home order.</w:t>
      </w:r>
      <w:r>
        <w:rPr>
          <w:color w:val="000000"/>
        </w:rPr>
        <w:t xml:space="preserve"> </w:t>
      </w:r>
    </w:p>
    <w:p w:rsidR="00CA2D5F" w:rsidRDefault="008732F5">
      <w:pPr>
        <w:numPr>
          <w:ilvl w:val="0"/>
          <w:numId w:val="2"/>
        </w:numPr>
        <w:pBdr>
          <w:top w:val="nil"/>
          <w:left w:val="nil"/>
          <w:bottom w:val="nil"/>
          <w:right w:val="nil"/>
          <w:between w:val="nil"/>
        </w:pBdr>
        <w:spacing w:line="240" w:lineRule="auto"/>
        <w:ind w:left="360"/>
        <w:jc w:val="both"/>
        <w:rPr>
          <w:color w:val="000000"/>
        </w:rPr>
      </w:pPr>
      <w:r>
        <w:rPr>
          <w:color w:val="000000"/>
        </w:rPr>
        <w:t xml:space="preserve">57% do their work (in whole or in part) remotely from home. </w:t>
      </w:r>
    </w:p>
    <w:p w:rsidR="00CA2D5F" w:rsidRDefault="00CA2D5F">
      <w:pPr>
        <w:spacing w:after="0" w:line="240" w:lineRule="auto"/>
        <w:jc w:val="both"/>
      </w:pPr>
    </w:p>
    <w:p w:rsidR="00CA2D5F" w:rsidRDefault="008732F5">
      <w:pPr>
        <w:spacing w:line="240" w:lineRule="auto"/>
        <w:jc w:val="both"/>
        <w:rPr>
          <w:b/>
          <w:color w:val="7F7F7F"/>
          <w:sz w:val="32"/>
          <w:szCs w:val="32"/>
        </w:rPr>
      </w:pPr>
      <w:r>
        <w:rPr>
          <w:b/>
          <w:color w:val="7F7F7F"/>
          <w:sz w:val="32"/>
          <w:szCs w:val="32"/>
        </w:rPr>
        <w:t>Detailed Results</w:t>
      </w:r>
    </w:p>
    <w:p w:rsidR="00CA2D5F" w:rsidRDefault="008732F5">
      <w:pPr>
        <w:shd w:val="clear" w:color="auto" w:fill="DBEEF3"/>
        <w:spacing w:line="240" w:lineRule="auto"/>
        <w:jc w:val="both"/>
        <w:rPr>
          <w:b/>
        </w:rPr>
      </w:pPr>
      <w:r>
        <w:rPr>
          <w:b/>
        </w:rPr>
        <w:t xml:space="preserve">(1) Evaluation of the performance of the government of Dr. Shtayyeh: An unprecedented positive evaluation. </w:t>
      </w:r>
    </w:p>
    <w:p w:rsidR="00CA2D5F" w:rsidRDefault="008732F5">
      <w:pPr>
        <w:spacing w:line="240" w:lineRule="auto"/>
        <w:jc w:val="both"/>
      </w:pPr>
      <w:r>
        <w:t xml:space="preserve">The current results of the evaluation on the general performance of the government of Dr. Shtayyeh have not been matched in opinion polls over the past several years. In this survey, 82% rated performance as positive, 15% as average, and 3% as weak. This is an exceptional increase (55%) from a previous survey conducted by AWRAD at the beginning of 2020, when the percentage of positive evaluation reached 27%. In terms of trust in the government led by Dr. Shtayyeh, 80% confirmed that they trusted his government to deal with the ongoing crisis. The positive evaluation of the performance of Dr. Shtayyeh’s government is equal between the West Bank and the Gaza Strip, as well as between women and men. </w:t>
      </w:r>
    </w:p>
    <w:p w:rsidR="00CA2D5F" w:rsidRDefault="008732F5">
      <w:pPr>
        <w:spacing w:line="240" w:lineRule="auto"/>
        <w:jc w:val="both"/>
      </w:pPr>
      <w:r>
        <w:rPr>
          <w:noProof/>
        </w:rPr>
        <w:drawing>
          <wp:inline distT="0" distB="0" distL="0" distR="0">
            <wp:extent cx="5725795" cy="24384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725795" cy="2438400"/>
                    </a:xfrm>
                    <a:prstGeom prst="rect">
                      <a:avLst/>
                    </a:prstGeom>
                    <a:ln/>
                  </pic:spPr>
                </pic:pic>
              </a:graphicData>
            </a:graphic>
          </wp:inline>
        </w:drawing>
      </w:r>
    </w:p>
    <w:p w:rsidR="00CA2D5F" w:rsidRDefault="008732F5">
      <w:pPr>
        <w:shd w:val="clear" w:color="auto" w:fill="DBEEF3"/>
        <w:spacing w:line="240" w:lineRule="auto"/>
        <w:jc w:val="both"/>
        <w:rPr>
          <w:b/>
        </w:rPr>
      </w:pPr>
      <w:r>
        <w:rPr>
          <w:b/>
        </w:rPr>
        <w:lastRenderedPageBreak/>
        <w:t xml:space="preserve">(2) Evaluation of the measures to deal with the COVID-19 pandemic. </w:t>
      </w:r>
    </w:p>
    <w:p w:rsidR="00CA2D5F" w:rsidRDefault="008732F5">
      <w:pPr>
        <w:spacing w:line="240" w:lineRule="auto"/>
        <w:jc w:val="both"/>
      </w:pPr>
      <w:r>
        <w:t>Responses to government actions can be categorized into three categories: high positive evaluation, which can be strengthened through attentiveness and sustainability; medium positive evaluation, which needs to be developed; poor evaluation, which needs substantial steps to be dealt with.</w:t>
      </w:r>
    </w:p>
    <w:p w:rsidR="00CA2D5F" w:rsidRDefault="008732F5">
      <w:pPr>
        <w:spacing w:line="240" w:lineRule="auto"/>
        <w:jc w:val="both"/>
        <w:rPr>
          <w:u w:val="single"/>
        </w:rPr>
      </w:pPr>
      <w:r>
        <w:rPr>
          <w:u w:val="single"/>
        </w:rPr>
        <w:t>Category 1: High positive evaluation</w:t>
      </w:r>
    </w:p>
    <w:p w:rsidR="00CA2D5F" w:rsidRDefault="008732F5">
      <w:pPr>
        <w:spacing w:line="240" w:lineRule="auto"/>
        <w:jc w:val="both"/>
      </w:pPr>
      <w:r>
        <w:t xml:space="preserve">Out of 19 measures, the government received a high positive evaluation for 8 measures, namely: closing educational institutions, asking citizens to pray in their homes, the speed of the government’s actions to contain spread of the disease, closing public places such as cafes and restaurants, transparency in publishing information and data about infection cases, exempting mothers from work, awareness and information programs, and rearranging the working hours of the Palestinian Authority’s employees. </w:t>
      </w:r>
    </w:p>
    <w:p w:rsidR="00CA2D5F" w:rsidRDefault="008732F5">
      <w:pPr>
        <w:spacing w:line="240" w:lineRule="auto"/>
        <w:jc w:val="both"/>
        <w:rPr>
          <w:b/>
        </w:rPr>
      </w:pPr>
      <w:r>
        <w:rPr>
          <w:b/>
        </w:rPr>
        <w:t>How would you rate the actions of the government under Shtayyeh in regard to the spread of the coronavirus in the following aspects? Was it less than needed, appropriate, or exaggerated?</w:t>
      </w:r>
    </w:p>
    <w:tbl>
      <w:tblPr>
        <w:tblStyle w:val="a"/>
        <w:tblW w:w="90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55"/>
        <w:gridCol w:w="3150"/>
        <w:gridCol w:w="1377"/>
        <w:gridCol w:w="1378"/>
        <w:gridCol w:w="1378"/>
        <w:gridCol w:w="1378"/>
      </w:tblGrid>
      <w:tr w:rsidR="00CA2D5F">
        <w:trPr>
          <w:trHeight w:val="917"/>
        </w:trPr>
        <w:tc>
          <w:tcPr>
            <w:tcW w:w="9016" w:type="dxa"/>
            <w:gridSpan w:val="6"/>
            <w:shd w:val="clear" w:color="auto" w:fill="7F7F7F"/>
          </w:tcPr>
          <w:p w:rsidR="00CA2D5F" w:rsidRDefault="008732F5">
            <w:pPr>
              <w:jc w:val="both"/>
              <w:rPr>
                <w:b/>
              </w:rPr>
            </w:pPr>
            <w:r>
              <w:rPr>
                <w:b/>
                <w:noProof/>
              </w:rPr>
              <w:drawing>
                <wp:inline distT="0" distB="0" distL="0" distR="0">
                  <wp:extent cx="350520" cy="350520"/>
                  <wp:effectExtent l="0" t="0" r="0" b="0"/>
                  <wp:docPr id="3" name="image3.png" descr="C:\Users\user\AppData\Local\Microsoft\Windows\INetCache\IE\4AAMCXDR\600px-Empty_Star.svg[1].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IE\4AAMCXDR\600px-Empty_Star.svg[1].png"/>
                          <pic:cNvPicPr preferRelativeResize="0"/>
                        </pic:nvPicPr>
                        <pic:blipFill>
                          <a:blip r:embed="rId13"/>
                          <a:srcRect/>
                          <a:stretch>
                            <a:fillRect/>
                          </a:stretch>
                        </pic:blipFill>
                        <pic:spPr>
                          <a:xfrm>
                            <a:off x="0" y="0"/>
                            <a:ext cx="350520" cy="350520"/>
                          </a:xfrm>
                          <a:prstGeom prst="rect">
                            <a:avLst/>
                          </a:prstGeom>
                          <a:ln/>
                        </pic:spPr>
                      </pic:pic>
                    </a:graphicData>
                  </a:graphic>
                </wp:inline>
              </w:drawing>
            </w:r>
            <w:r>
              <w:rPr>
                <w:b/>
                <w:noProof/>
              </w:rPr>
              <w:drawing>
                <wp:inline distT="0" distB="0" distL="0" distR="0">
                  <wp:extent cx="350520" cy="350520"/>
                  <wp:effectExtent l="0" t="0" r="0" b="0"/>
                  <wp:docPr id="6" name="image3.png" descr="C:\Users\user\AppData\Local\Microsoft\Windows\INetCache\IE\4AAMCXDR\600px-Empty_Star.svg[1].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IE\4AAMCXDR\600px-Empty_Star.svg[1].png"/>
                          <pic:cNvPicPr preferRelativeResize="0"/>
                        </pic:nvPicPr>
                        <pic:blipFill>
                          <a:blip r:embed="rId13"/>
                          <a:srcRect/>
                          <a:stretch>
                            <a:fillRect/>
                          </a:stretch>
                        </pic:blipFill>
                        <pic:spPr>
                          <a:xfrm>
                            <a:off x="0" y="0"/>
                            <a:ext cx="350520" cy="350520"/>
                          </a:xfrm>
                          <a:prstGeom prst="rect">
                            <a:avLst/>
                          </a:prstGeom>
                          <a:ln/>
                        </pic:spPr>
                      </pic:pic>
                    </a:graphicData>
                  </a:graphic>
                </wp:inline>
              </w:drawing>
            </w:r>
            <w:r>
              <w:rPr>
                <w:b/>
                <w:noProof/>
              </w:rPr>
              <w:drawing>
                <wp:inline distT="0" distB="0" distL="0" distR="0">
                  <wp:extent cx="350520" cy="350520"/>
                  <wp:effectExtent l="0" t="0" r="0" b="0"/>
                  <wp:docPr id="5" name="image3.png" descr="C:\Users\user\AppData\Local\Microsoft\Windows\INetCache\IE\4AAMCXDR\600px-Empty_Star.svg[1].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IE\4AAMCXDR\600px-Empty_Star.svg[1].png"/>
                          <pic:cNvPicPr preferRelativeResize="0"/>
                        </pic:nvPicPr>
                        <pic:blipFill>
                          <a:blip r:embed="rId13"/>
                          <a:srcRect/>
                          <a:stretch>
                            <a:fillRect/>
                          </a:stretch>
                        </pic:blipFill>
                        <pic:spPr>
                          <a:xfrm>
                            <a:off x="0" y="0"/>
                            <a:ext cx="350520" cy="350520"/>
                          </a:xfrm>
                          <a:prstGeom prst="rect">
                            <a:avLst/>
                          </a:prstGeom>
                          <a:ln/>
                        </pic:spPr>
                      </pic:pic>
                    </a:graphicData>
                  </a:graphic>
                </wp:inline>
              </w:drawing>
            </w:r>
          </w:p>
          <w:p w:rsidR="00CA2D5F" w:rsidRDefault="008732F5">
            <w:pPr>
              <w:jc w:val="both"/>
              <w:rPr>
                <w:b/>
              </w:rPr>
            </w:pPr>
            <w:r>
              <w:rPr>
                <w:b/>
                <w:color w:val="FFFFFF"/>
              </w:rPr>
              <w:t xml:space="preserve">Table 1: The measure is appropriate (70% or more of respondents believe this): Continue to perform well </w:t>
            </w:r>
          </w:p>
        </w:tc>
      </w:tr>
      <w:tr w:rsidR="00CA2D5F">
        <w:tc>
          <w:tcPr>
            <w:tcW w:w="3505" w:type="dxa"/>
            <w:gridSpan w:val="2"/>
            <w:shd w:val="clear" w:color="auto" w:fill="7F7F7F"/>
          </w:tcPr>
          <w:p w:rsidR="00CA2D5F" w:rsidRDefault="00CA2D5F">
            <w:pPr>
              <w:jc w:val="both"/>
              <w:rPr>
                <w:b/>
              </w:rPr>
            </w:pPr>
          </w:p>
        </w:tc>
        <w:tc>
          <w:tcPr>
            <w:tcW w:w="1377" w:type="dxa"/>
            <w:shd w:val="clear" w:color="auto" w:fill="F2F2F2"/>
            <w:vAlign w:val="center"/>
          </w:tcPr>
          <w:p w:rsidR="00CA2D5F" w:rsidRDefault="008732F5">
            <w:pPr>
              <w:jc w:val="center"/>
              <w:rPr>
                <w:b/>
              </w:rPr>
            </w:pPr>
            <w:r>
              <w:rPr>
                <w:b/>
              </w:rPr>
              <w:t>Less than needed</w:t>
            </w:r>
          </w:p>
        </w:tc>
        <w:tc>
          <w:tcPr>
            <w:tcW w:w="1378" w:type="dxa"/>
            <w:shd w:val="clear" w:color="auto" w:fill="F2F2F2"/>
            <w:vAlign w:val="center"/>
          </w:tcPr>
          <w:p w:rsidR="00CA2D5F" w:rsidRDefault="008732F5">
            <w:pPr>
              <w:jc w:val="center"/>
              <w:rPr>
                <w:b/>
              </w:rPr>
            </w:pPr>
            <w:r>
              <w:rPr>
                <w:b/>
              </w:rPr>
              <w:t>Appropriate</w:t>
            </w:r>
          </w:p>
        </w:tc>
        <w:tc>
          <w:tcPr>
            <w:tcW w:w="1378" w:type="dxa"/>
            <w:shd w:val="clear" w:color="auto" w:fill="F2F2F2"/>
            <w:vAlign w:val="center"/>
          </w:tcPr>
          <w:p w:rsidR="00CA2D5F" w:rsidRDefault="008732F5">
            <w:pPr>
              <w:jc w:val="center"/>
              <w:rPr>
                <w:b/>
              </w:rPr>
            </w:pPr>
            <w:r>
              <w:rPr>
                <w:b/>
              </w:rPr>
              <w:t>Exaggerated</w:t>
            </w:r>
          </w:p>
        </w:tc>
        <w:tc>
          <w:tcPr>
            <w:tcW w:w="1378" w:type="dxa"/>
            <w:shd w:val="clear" w:color="auto" w:fill="F2F2F2"/>
            <w:vAlign w:val="center"/>
          </w:tcPr>
          <w:p w:rsidR="00CA2D5F" w:rsidRDefault="008732F5">
            <w:pPr>
              <w:jc w:val="center"/>
              <w:rPr>
                <w:b/>
              </w:rPr>
            </w:pPr>
            <w:r>
              <w:rPr>
                <w:b/>
              </w:rPr>
              <w:t>I don’t know / No answer</w:t>
            </w:r>
          </w:p>
        </w:tc>
      </w:tr>
      <w:tr w:rsidR="00CA2D5F">
        <w:tc>
          <w:tcPr>
            <w:tcW w:w="355" w:type="dxa"/>
            <w:shd w:val="clear" w:color="auto" w:fill="FFFFFF"/>
          </w:tcPr>
          <w:p w:rsidR="00CA2D5F" w:rsidRDefault="008732F5">
            <w:pPr>
              <w:jc w:val="both"/>
            </w:pPr>
            <w:r>
              <w:t>1</w:t>
            </w:r>
          </w:p>
        </w:tc>
        <w:tc>
          <w:tcPr>
            <w:tcW w:w="3150" w:type="dxa"/>
            <w:shd w:val="clear" w:color="auto" w:fill="FFFFFF"/>
          </w:tcPr>
          <w:p w:rsidR="00CA2D5F" w:rsidRDefault="008732F5">
            <w:pPr>
              <w:jc w:val="both"/>
            </w:pPr>
            <w:r>
              <w:t>Closing educational institutions (nurseries, schools, universities)</w:t>
            </w:r>
          </w:p>
        </w:tc>
        <w:tc>
          <w:tcPr>
            <w:tcW w:w="1377" w:type="dxa"/>
            <w:shd w:val="clear" w:color="auto" w:fill="FFFFFF"/>
            <w:vAlign w:val="center"/>
          </w:tcPr>
          <w:p w:rsidR="00CA2D5F" w:rsidRDefault="008732F5">
            <w:pPr>
              <w:jc w:val="center"/>
            </w:pPr>
            <w:r>
              <w:t>2%</w:t>
            </w:r>
          </w:p>
        </w:tc>
        <w:tc>
          <w:tcPr>
            <w:tcW w:w="1378" w:type="dxa"/>
            <w:shd w:val="clear" w:color="auto" w:fill="FFFFFF"/>
            <w:vAlign w:val="center"/>
          </w:tcPr>
          <w:p w:rsidR="00CA2D5F" w:rsidRDefault="008732F5">
            <w:pPr>
              <w:jc w:val="center"/>
            </w:pPr>
            <w:r>
              <w:t>95%</w:t>
            </w:r>
          </w:p>
        </w:tc>
        <w:tc>
          <w:tcPr>
            <w:tcW w:w="1378" w:type="dxa"/>
            <w:shd w:val="clear" w:color="auto" w:fill="FFFFFF"/>
            <w:vAlign w:val="center"/>
          </w:tcPr>
          <w:p w:rsidR="00CA2D5F" w:rsidRDefault="008732F5">
            <w:pPr>
              <w:jc w:val="center"/>
            </w:pPr>
            <w:r>
              <w:t>3%</w:t>
            </w:r>
          </w:p>
        </w:tc>
        <w:tc>
          <w:tcPr>
            <w:tcW w:w="1378" w:type="dxa"/>
            <w:shd w:val="clear" w:color="auto" w:fill="FFFFFF"/>
            <w:vAlign w:val="center"/>
          </w:tcPr>
          <w:p w:rsidR="00CA2D5F" w:rsidRDefault="008732F5">
            <w:pPr>
              <w:jc w:val="center"/>
            </w:pPr>
            <w:r>
              <w:t>--%</w:t>
            </w:r>
          </w:p>
        </w:tc>
      </w:tr>
      <w:tr w:rsidR="00CA2D5F">
        <w:tc>
          <w:tcPr>
            <w:tcW w:w="355" w:type="dxa"/>
            <w:shd w:val="clear" w:color="auto" w:fill="FFFFFF"/>
          </w:tcPr>
          <w:p w:rsidR="00CA2D5F" w:rsidRDefault="008732F5">
            <w:pPr>
              <w:jc w:val="both"/>
            </w:pPr>
            <w:r>
              <w:t>2</w:t>
            </w:r>
          </w:p>
        </w:tc>
        <w:tc>
          <w:tcPr>
            <w:tcW w:w="3150" w:type="dxa"/>
            <w:shd w:val="clear" w:color="auto" w:fill="FFFFFF"/>
          </w:tcPr>
          <w:p w:rsidR="00CA2D5F" w:rsidRDefault="008732F5">
            <w:pPr>
              <w:jc w:val="both"/>
            </w:pPr>
            <w:r>
              <w:t>Asking citizens to pray in their homes</w:t>
            </w:r>
          </w:p>
        </w:tc>
        <w:tc>
          <w:tcPr>
            <w:tcW w:w="1377" w:type="dxa"/>
            <w:shd w:val="clear" w:color="auto" w:fill="FFFFFF"/>
            <w:vAlign w:val="center"/>
          </w:tcPr>
          <w:p w:rsidR="00CA2D5F" w:rsidRDefault="008732F5">
            <w:pPr>
              <w:jc w:val="center"/>
            </w:pPr>
            <w:r>
              <w:t>4%</w:t>
            </w:r>
          </w:p>
        </w:tc>
        <w:tc>
          <w:tcPr>
            <w:tcW w:w="1378" w:type="dxa"/>
            <w:shd w:val="clear" w:color="auto" w:fill="FFFFFF"/>
            <w:vAlign w:val="center"/>
          </w:tcPr>
          <w:p w:rsidR="00CA2D5F" w:rsidRDefault="008732F5">
            <w:pPr>
              <w:jc w:val="center"/>
            </w:pPr>
            <w:r>
              <w:t>88%</w:t>
            </w:r>
          </w:p>
        </w:tc>
        <w:tc>
          <w:tcPr>
            <w:tcW w:w="1378" w:type="dxa"/>
            <w:shd w:val="clear" w:color="auto" w:fill="FFFFFF"/>
            <w:vAlign w:val="center"/>
          </w:tcPr>
          <w:p w:rsidR="00CA2D5F" w:rsidRDefault="008732F5">
            <w:pPr>
              <w:jc w:val="center"/>
            </w:pPr>
            <w:r>
              <w:t>7%</w:t>
            </w:r>
          </w:p>
        </w:tc>
        <w:tc>
          <w:tcPr>
            <w:tcW w:w="1378" w:type="dxa"/>
            <w:shd w:val="clear" w:color="auto" w:fill="FFFFFF"/>
            <w:vAlign w:val="center"/>
          </w:tcPr>
          <w:p w:rsidR="00CA2D5F" w:rsidRDefault="008732F5">
            <w:pPr>
              <w:jc w:val="center"/>
            </w:pPr>
            <w:r>
              <w:t>1%</w:t>
            </w:r>
          </w:p>
        </w:tc>
      </w:tr>
      <w:tr w:rsidR="00CA2D5F">
        <w:tc>
          <w:tcPr>
            <w:tcW w:w="355" w:type="dxa"/>
            <w:shd w:val="clear" w:color="auto" w:fill="FFFFFF"/>
          </w:tcPr>
          <w:p w:rsidR="00CA2D5F" w:rsidRDefault="008732F5">
            <w:pPr>
              <w:jc w:val="both"/>
            </w:pPr>
            <w:r>
              <w:t xml:space="preserve">3 </w:t>
            </w:r>
          </w:p>
        </w:tc>
        <w:tc>
          <w:tcPr>
            <w:tcW w:w="3150" w:type="dxa"/>
            <w:shd w:val="clear" w:color="auto" w:fill="FFFFFF"/>
          </w:tcPr>
          <w:p w:rsidR="00CA2D5F" w:rsidRDefault="008732F5">
            <w:pPr>
              <w:jc w:val="both"/>
            </w:pPr>
            <w:r>
              <w:t>The speed of the government’s actions to contain the spread of the disease</w:t>
            </w:r>
          </w:p>
        </w:tc>
        <w:tc>
          <w:tcPr>
            <w:tcW w:w="1377" w:type="dxa"/>
            <w:shd w:val="clear" w:color="auto" w:fill="FFFFFF"/>
            <w:vAlign w:val="center"/>
          </w:tcPr>
          <w:p w:rsidR="00CA2D5F" w:rsidRDefault="008732F5">
            <w:pPr>
              <w:jc w:val="center"/>
            </w:pPr>
            <w:r>
              <w:t>10%</w:t>
            </w:r>
          </w:p>
        </w:tc>
        <w:tc>
          <w:tcPr>
            <w:tcW w:w="1378" w:type="dxa"/>
            <w:shd w:val="clear" w:color="auto" w:fill="FFFFFF"/>
            <w:vAlign w:val="center"/>
          </w:tcPr>
          <w:p w:rsidR="00CA2D5F" w:rsidRDefault="008732F5">
            <w:pPr>
              <w:jc w:val="center"/>
            </w:pPr>
            <w:r>
              <w:t>88%</w:t>
            </w:r>
          </w:p>
        </w:tc>
        <w:tc>
          <w:tcPr>
            <w:tcW w:w="1378" w:type="dxa"/>
            <w:shd w:val="clear" w:color="auto" w:fill="FFFFFF"/>
            <w:vAlign w:val="center"/>
          </w:tcPr>
          <w:p w:rsidR="00CA2D5F" w:rsidRDefault="008732F5">
            <w:pPr>
              <w:jc w:val="center"/>
            </w:pPr>
            <w:r>
              <w:t>1%</w:t>
            </w:r>
          </w:p>
        </w:tc>
        <w:tc>
          <w:tcPr>
            <w:tcW w:w="1378" w:type="dxa"/>
            <w:shd w:val="clear" w:color="auto" w:fill="FFFFFF"/>
            <w:vAlign w:val="center"/>
          </w:tcPr>
          <w:p w:rsidR="00CA2D5F" w:rsidRDefault="008732F5">
            <w:pPr>
              <w:jc w:val="center"/>
            </w:pPr>
            <w:r>
              <w:t>1%</w:t>
            </w:r>
          </w:p>
        </w:tc>
      </w:tr>
      <w:tr w:rsidR="00CA2D5F">
        <w:tc>
          <w:tcPr>
            <w:tcW w:w="355" w:type="dxa"/>
            <w:shd w:val="clear" w:color="auto" w:fill="FFFFFF"/>
          </w:tcPr>
          <w:p w:rsidR="00CA2D5F" w:rsidRDefault="008732F5">
            <w:pPr>
              <w:jc w:val="both"/>
            </w:pPr>
            <w:r>
              <w:t xml:space="preserve">4 </w:t>
            </w:r>
          </w:p>
        </w:tc>
        <w:tc>
          <w:tcPr>
            <w:tcW w:w="3150" w:type="dxa"/>
            <w:shd w:val="clear" w:color="auto" w:fill="FFFFFF"/>
          </w:tcPr>
          <w:p w:rsidR="00CA2D5F" w:rsidRDefault="008732F5">
            <w:pPr>
              <w:jc w:val="both"/>
            </w:pPr>
            <w:r>
              <w:t>Closing public places such as restaurants and cafes</w:t>
            </w:r>
          </w:p>
        </w:tc>
        <w:tc>
          <w:tcPr>
            <w:tcW w:w="1377" w:type="dxa"/>
            <w:shd w:val="clear" w:color="auto" w:fill="FFFFFF"/>
            <w:vAlign w:val="center"/>
          </w:tcPr>
          <w:p w:rsidR="00CA2D5F" w:rsidRDefault="008732F5">
            <w:pPr>
              <w:jc w:val="center"/>
            </w:pPr>
            <w:r>
              <w:t>14%</w:t>
            </w:r>
          </w:p>
        </w:tc>
        <w:tc>
          <w:tcPr>
            <w:tcW w:w="1378" w:type="dxa"/>
            <w:shd w:val="clear" w:color="auto" w:fill="FFFFFF"/>
            <w:vAlign w:val="center"/>
          </w:tcPr>
          <w:p w:rsidR="00CA2D5F" w:rsidRDefault="008732F5">
            <w:pPr>
              <w:jc w:val="center"/>
            </w:pPr>
            <w:r>
              <w:t>83%</w:t>
            </w:r>
          </w:p>
        </w:tc>
        <w:tc>
          <w:tcPr>
            <w:tcW w:w="1378" w:type="dxa"/>
            <w:shd w:val="clear" w:color="auto" w:fill="FFFFFF"/>
            <w:vAlign w:val="center"/>
          </w:tcPr>
          <w:p w:rsidR="00CA2D5F" w:rsidRDefault="008732F5">
            <w:pPr>
              <w:jc w:val="center"/>
            </w:pPr>
            <w:r>
              <w:t>3%</w:t>
            </w:r>
          </w:p>
        </w:tc>
        <w:tc>
          <w:tcPr>
            <w:tcW w:w="1378" w:type="dxa"/>
            <w:shd w:val="clear" w:color="auto" w:fill="FFFFFF"/>
            <w:vAlign w:val="center"/>
          </w:tcPr>
          <w:p w:rsidR="00CA2D5F" w:rsidRDefault="008732F5">
            <w:pPr>
              <w:jc w:val="center"/>
            </w:pPr>
            <w:r>
              <w:t>--%</w:t>
            </w:r>
          </w:p>
        </w:tc>
      </w:tr>
      <w:tr w:rsidR="00CA2D5F">
        <w:tc>
          <w:tcPr>
            <w:tcW w:w="355" w:type="dxa"/>
            <w:shd w:val="clear" w:color="auto" w:fill="FFFFFF"/>
          </w:tcPr>
          <w:p w:rsidR="00CA2D5F" w:rsidRDefault="008732F5">
            <w:pPr>
              <w:jc w:val="both"/>
            </w:pPr>
            <w:r>
              <w:t xml:space="preserve">5 </w:t>
            </w:r>
          </w:p>
        </w:tc>
        <w:tc>
          <w:tcPr>
            <w:tcW w:w="3150" w:type="dxa"/>
            <w:shd w:val="clear" w:color="auto" w:fill="FFFFFF"/>
          </w:tcPr>
          <w:p w:rsidR="00CA2D5F" w:rsidRDefault="008732F5">
            <w:pPr>
              <w:jc w:val="both"/>
            </w:pPr>
            <w:r>
              <w:t>Transparency in publishing data on infection cases</w:t>
            </w:r>
          </w:p>
        </w:tc>
        <w:tc>
          <w:tcPr>
            <w:tcW w:w="1377" w:type="dxa"/>
            <w:shd w:val="clear" w:color="auto" w:fill="FFFFFF"/>
            <w:vAlign w:val="center"/>
          </w:tcPr>
          <w:p w:rsidR="00CA2D5F" w:rsidRDefault="008732F5">
            <w:pPr>
              <w:jc w:val="center"/>
            </w:pPr>
            <w:r>
              <w:t>13%</w:t>
            </w:r>
          </w:p>
        </w:tc>
        <w:tc>
          <w:tcPr>
            <w:tcW w:w="1378" w:type="dxa"/>
            <w:shd w:val="clear" w:color="auto" w:fill="FFFFFF"/>
            <w:vAlign w:val="center"/>
          </w:tcPr>
          <w:p w:rsidR="00CA2D5F" w:rsidRDefault="008732F5">
            <w:pPr>
              <w:jc w:val="center"/>
            </w:pPr>
            <w:r>
              <w:t>80%</w:t>
            </w:r>
          </w:p>
        </w:tc>
        <w:tc>
          <w:tcPr>
            <w:tcW w:w="1378" w:type="dxa"/>
            <w:shd w:val="clear" w:color="auto" w:fill="FFFFFF"/>
            <w:vAlign w:val="center"/>
          </w:tcPr>
          <w:p w:rsidR="00CA2D5F" w:rsidRDefault="008732F5">
            <w:pPr>
              <w:jc w:val="center"/>
            </w:pPr>
            <w:r>
              <w:t>2%</w:t>
            </w:r>
          </w:p>
        </w:tc>
        <w:tc>
          <w:tcPr>
            <w:tcW w:w="1378" w:type="dxa"/>
            <w:shd w:val="clear" w:color="auto" w:fill="FFFFFF"/>
            <w:vAlign w:val="center"/>
          </w:tcPr>
          <w:p w:rsidR="00CA2D5F" w:rsidRDefault="008732F5">
            <w:pPr>
              <w:jc w:val="center"/>
            </w:pPr>
            <w:r>
              <w:t>5%</w:t>
            </w:r>
          </w:p>
        </w:tc>
      </w:tr>
      <w:tr w:rsidR="00CA2D5F">
        <w:tc>
          <w:tcPr>
            <w:tcW w:w="355" w:type="dxa"/>
            <w:shd w:val="clear" w:color="auto" w:fill="FFFFFF"/>
          </w:tcPr>
          <w:p w:rsidR="00CA2D5F" w:rsidRDefault="008732F5">
            <w:pPr>
              <w:jc w:val="both"/>
            </w:pPr>
            <w:r>
              <w:t xml:space="preserve">6 </w:t>
            </w:r>
          </w:p>
        </w:tc>
        <w:tc>
          <w:tcPr>
            <w:tcW w:w="3150" w:type="dxa"/>
            <w:shd w:val="clear" w:color="auto" w:fill="FFFFFF"/>
          </w:tcPr>
          <w:p w:rsidR="00CA2D5F" w:rsidRDefault="008732F5">
            <w:pPr>
              <w:jc w:val="both"/>
            </w:pPr>
            <w:r>
              <w:t xml:space="preserve">Exempting mothers from work  </w:t>
            </w:r>
          </w:p>
        </w:tc>
        <w:tc>
          <w:tcPr>
            <w:tcW w:w="1377" w:type="dxa"/>
            <w:shd w:val="clear" w:color="auto" w:fill="FFFFFF"/>
            <w:vAlign w:val="center"/>
          </w:tcPr>
          <w:p w:rsidR="00CA2D5F" w:rsidRDefault="008732F5">
            <w:pPr>
              <w:jc w:val="center"/>
            </w:pPr>
            <w:r>
              <w:t>11%</w:t>
            </w:r>
          </w:p>
        </w:tc>
        <w:tc>
          <w:tcPr>
            <w:tcW w:w="1378" w:type="dxa"/>
            <w:shd w:val="clear" w:color="auto" w:fill="FFFFFF"/>
            <w:vAlign w:val="center"/>
          </w:tcPr>
          <w:p w:rsidR="00CA2D5F" w:rsidRDefault="008732F5">
            <w:pPr>
              <w:jc w:val="center"/>
            </w:pPr>
            <w:r>
              <w:t>80%</w:t>
            </w:r>
          </w:p>
        </w:tc>
        <w:tc>
          <w:tcPr>
            <w:tcW w:w="1378" w:type="dxa"/>
            <w:shd w:val="clear" w:color="auto" w:fill="FFFFFF"/>
            <w:vAlign w:val="center"/>
          </w:tcPr>
          <w:p w:rsidR="00CA2D5F" w:rsidRDefault="008732F5">
            <w:pPr>
              <w:jc w:val="center"/>
            </w:pPr>
            <w:r>
              <w:t>5%</w:t>
            </w:r>
          </w:p>
        </w:tc>
        <w:tc>
          <w:tcPr>
            <w:tcW w:w="1378" w:type="dxa"/>
            <w:shd w:val="clear" w:color="auto" w:fill="FFFFFF"/>
            <w:vAlign w:val="center"/>
          </w:tcPr>
          <w:p w:rsidR="00CA2D5F" w:rsidRDefault="008732F5">
            <w:pPr>
              <w:jc w:val="center"/>
            </w:pPr>
            <w:r>
              <w:t>4%</w:t>
            </w:r>
          </w:p>
        </w:tc>
      </w:tr>
      <w:tr w:rsidR="00CA2D5F">
        <w:tc>
          <w:tcPr>
            <w:tcW w:w="355" w:type="dxa"/>
            <w:shd w:val="clear" w:color="auto" w:fill="FFFFFF"/>
          </w:tcPr>
          <w:p w:rsidR="00CA2D5F" w:rsidRDefault="008732F5">
            <w:pPr>
              <w:jc w:val="both"/>
            </w:pPr>
            <w:r>
              <w:t xml:space="preserve">7 </w:t>
            </w:r>
          </w:p>
        </w:tc>
        <w:tc>
          <w:tcPr>
            <w:tcW w:w="3150" w:type="dxa"/>
            <w:shd w:val="clear" w:color="auto" w:fill="FFFFFF"/>
          </w:tcPr>
          <w:p w:rsidR="00CA2D5F" w:rsidRDefault="008732F5">
            <w:pPr>
              <w:jc w:val="both"/>
            </w:pPr>
            <w:r>
              <w:t>Awareness and information programs</w:t>
            </w:r>
          </w:p>
        </w:tc>
        <w:tc>
          <w:tcPr>
            <w:tcW w:w="1377" w:type="dxa"/>
            <w:shd w:val="clear" w:color="auto" w:fill="FFFFFF"/>
            <w:vAlign w:val="center"/>
          </w:tcPr>
          <w:p w:rsidR="00CA2D5F" w:rsidRDefault="008732F5">
            <w:pPr>
              <w:jc w:val="center"/>
            </w:pPr>
            <w:r>
              <w:t>23%</w:t>
            </w:r>
          </w:p>
        </w:tc>
        <w:tc>
          <w:tcPr>
            <w:tcW w:w="1378" w:type="dxa"/>
            <w:shd w:val="clear" w:color="auto" w:fill="FFFFFF"/>
            <w:vAlign w:val="center"/>
          </w:tcPr>
          <w:p w:rsidR="00CA2D5F" w:rsidRDefault="008732F5">
            <w:pPr>
              <w:jc w:val="center"/>
            </w:pPr>
            <w:r>
              <w:t>71%</w:t>
            </w:r>
          </w:p>
        </w:tc>
        <w:tc>
          <w:tcPr>
            <w:tcW w:w="1378" w:type="dxa"/>
            <w:shd w:val="clear" w:color="auto" w:fill="FFFFFF"/>
            <w:vAlign w:val="center"/>
          </w:tcPr>
          <w:p w:rsidR="00CA2D5F" w:rsidRDefault="008732F5">
            <w:pPr>
              <w:jc w:val="center"/>
            </w:pPr>
            <w:r>
              <w:t>4%</w:t>
            </w:r>
          </w:p>
        </w:tc>
        <w:tc>
          <w:tcPr>
            <w:tcW w:w="1378" w:type="dxa"/>
            <w:shd w:val="clear" w:color="auto" w:fill="FFFFFF"/>
            <w:vAlign w:val="center"/>
          </w:tcPr>
          <w:p w:rsidR="00CA2D5F" w:rsidRDefault="008732F5">
            <w:pPr>
              <w:jc w:val="center"/>
            </w:pPr>
            <w:r>
              <w:t>2%</w:t>
            </w:r>
          </w:p>
        </w:tc>
      </w:tr>
      <w:tr w:rsidR="00CA2D5F">
        <w:tc>
          <w:tcPr>
            <w:tcW w:w="355" w:type="dxa"/>
            <w:shd w:val="clear" w:color="auto" w:fill="FFFFFF"/>
          </w:tcPr>
          <w:p w:rsidR="00CA2D5F" w:rsidRDefault="008732F5">
            <w:pPr>
              <w:jc w:val="both"/>
            </w:pPr>
            <w:r>
              <w:t xml:space="preserve">8 </w:t>
            </w:r>
          </w:p>
        </w:tc>
        <w:tc>
          <w:tcPr>
            <w:tcW w:w="3150" w:type="dxa"/>
            <w:shd w:val="clear" w:color="auto" w:fill="FFFFFF"/>
          </w:tcPr>
          <w:p w:rsidR="00CA2D5F" w:rsidRDefault="008732F5">
            <w:pPr>
              <w:jc w:val="both"/>
            </w:pPr>
            <w:r>
              <w:t>Rearranging the working hours of Palestinian Authority staff</w:t>
            </w:r>
          </w:p>
        </w:tc>
        <w:tc>
          <w:tcPr>
            <w:tcW w:w="1377" w:type="dxa"/>
            <w:shd w:val="clear" w:color="auto" w:fill="FFFFFF"/>
            <w:vAlign w:val="center"/>
          </w:tcPr>
          <w:p w:rsidR="00CA2D5F" w:rsidRDefault="008732F5">
            <w:pPr>
              <w:jc w:val="center"/>
            </w:pPr>
            <w:r>
              <w:t>15%</w:t>
            </w:r>
          </w:p>
        </w:tc>
        <w:tc>
          <w:tcPr>
            <w:tcW w:w="1378" w:type="dxa"/>
            <w:shd w:val="clear" w:color="auto" w:fill="FFFFFF"/>
            <w:vAlign w:val="center"/>
          </w:tcPr>
          <w:p w:rsidR="00CA2D5F" w:rsidRDefault="008732F5">
            <w:pPr>
              <w:jc w:val="center"/>
            </w:pPr>
            <w:r>
              <w:t>71%</w:t>
            </w:r>
          </w:p>
        </w:tc>
        <w:tc>
          <w:tcPr>
            <w:tcW w:w="1378" w:type="dxa"/>
            <w:shd w:val="clear" w:color="auto" w:fill="FFFFFF"/>
            <w:vAlign w:val="center"/>
          </w:tcPr>
          <w:p w:rsidR="00CA2D5F" w:rsidRDefault="008732F5">
            <w:pPr>
              <w:jc w:val="center"/>
            </w:pPr>
            <w:r>
              <w:t>2%</w:t>
            </w:r>
          </w:p>
        </w:tc>
        <w:tc>
          <w:tcPr>
            <w:tcW w:w="1378" w:type="dxa"/>
            <w:shd w:val="clear" w:color="auto" w:fill="FFFFFF"/>
            <w:vAlign w:val="center"/>
          </w:tcPr>
          <w:p w:rsidR="00CA2D5F" w:rsidRDefault="008732F5">
            <w:pPr>
              <w:jc w:val="center"/>
            </w:pPr>
            <w:r>
              <w:t>12%</w:t>
            </w:r>
          </w:p>
        </w:tc>
      </w:tr>
    </w:tbl>
    <w:p w:rsidR="00CA2D5F" w:rsidRDefault="00CA2D5F">
      <w:pPr>
        <w:spacing w:line="240" w:lineRule="auto"/>
        <w:jc w:val="both"/>
      </w:pPr>
    </w:p>
    <w:p w:rsidR="00CA2D5F" w:rsidRDefault="008732F5">
      <w:pPr>
        <w:spacing w:line="240" w:lineRule="auto"/>
        <w:jc w:val="both"/>
        <w:rPr>
          <w:u w:val="single"/>
        </w:rPr>
      </w:pPr>
      <w:r>
        <w:rPr>
          <w:u w:val="single"/>
        </w:rPr>
        <w:t>Category 2: Average positive evaluation</w:t>
      </w:r>
    </w:p>
    <w:p w:rsidR="00CA2D5F" w:rsidRDefault="008732F5">
      <w:pPr>
        <w:spacing w:line="240" w:lineRule="auto"/>
        <w:jc w:val="both"/>
      </w:pPr>
      <w:r>
        <w:t>Three measures received average positive evaluation, namely: closing certain areas, preventing gatherings, and dealing with issues of the border with Jordan.</w:t>
      </w:r>
    </w:p>
    <w:tbl>
      <w:tblPr>
        <w:tblStyle w:val="a0"/>
        <w:tblW w:w="90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45"/>
        <w:gridCol w:w="3060"/>
        <w:gridCol w:w="1377"/>
        <w:gridCol w:w="1378"/>
        <w:gridCol w:w="1378"/>
        <w:gridCol w:w="1378"/>
      </w:tblGrid>
      <w:tr w:rsidR="00CA2D5F">
        <w:tc>
          <w:tcPr>
            <w:tcW w:w="9016" w:type="dxa"/>
            <w:gridSpan w:val="6"/>
            <w:shd w:val="clear" w:color="auto" w:fill="7F7F7F"/>
          </w:tcPr>
          <w:p w:rsidR="00CA2D5F" w:rsidRDefault="008732F5">
            <w:pPr>
              <w:jc w:val="both"/>
              <w:rPr>
                <w:b/>
                <w:color w:val="FFFFFF"/>
              </w:rPr>
            </w:pPr>
            <w:r>
              <w:rPr>
                <w:b/>
                <w:noProof/>
                <w:color w:val="FFFFFF"/>
              </w:rPr>
              <w:drawing>
                <wp:inline distT="0" distB="0" distL="0" distR="0">
                  <wp:extent cx="350520" cy="350520"/>
                  <wp:effectExtent l="0" t="0" r="0" b="0"/>
                  <wp:docPr id="8" name="image3.png" descr="C:\Users\user\AppData\Local\Microsoft\Windows\INetCache\IE\4AAMCXDR\600px-Empty_Star.svg[1].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IE\4AAMCXDR\600px-Empty_Star.svg[1].png"/>
                          <pic:cNvPicPr preferRelativeResize="0"/>
                        </pic:nvPicPr>
                        <pic:blipFill>
                          <a:blip r:embed="rId13"/>
                          <a:srcRect/>
                          <a:stretch>
                            <a:fillRect/>
                          </a:stretch>
                        </pic:blipFill>
                        <pic:spPr>
                          <a:xfrm>
                            <a:off x="0" y="0"/>
                            <a:ext cx="350520" cy="350520"/>
                          </a:xfrm>
                          <a:prstGeom prst="rect">
                            <a:avLst/>
                          </a:prstGeom>
                          <a:ln/>
                        </pic:spPr>
                      </pic:pic>
                    </a:graphicData>
                  </a:graphic>
                </wp:inline>
              </w:drawing>
            </w:r>
            <w:r>
              <w:rPr>
                <w:b/>
                <w:noProof/>
                <w:color w:val="FFFFFF"/>
              </w:rPr>
              <w:drawing>
                <wp:inline distT="0" distB="0" distL="0" distR="0">
                  <wp:extent cx="350520" cy="350520"/>
                  <wp:effectExtent l="0" t="0" r="0" b="0"/>
                  <wp:docPr id="7" name="image3.png" descr="C:\Users\user\AppData\Local\Microsoft\Windows\INetCache\IE\4AAMCXDR\600px-Empty_Star.svg[1].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IE\4AAMCXDR\600px-Empty_Star.svg[1].png"/>
                          <pic:cNvPicPr preferRelativeResize="0"/>
                        </pic:nvPicPr>
                        <pic:blipFill>
                          <a:blip r:embed="rId13"/>
                          <a:srcRect/>
                          <a:stretch>
                            <a:fillRect/>
                          </a:stretch>
                        </pic:blipFill>
                        <pic:spPr>
                          <a:xfrm>
                            <a:off x="0" y="0"/>
                            <a:ext cx="350520" cy="350520"/>
                          </a:xfrm>
                          <a:prstGeom prst="rect">
                            <a:avLst/>
                          </a:prstGeom>
                          <a:ln/>
                        </pic:spPr>
                      </pic:pic>
                    </a:graphicData>
                  </a:graphic>
                </wp:inline>
              </w:drawing>
            </w:r>
          </w:p>
          <w:p w:rsidR="00CA2D5F" w:rsidRDefault="008732F5">
            <w:pPr>
              <w:jc w:val="both"/>
              <w:rPr>
                <w:b/>
                <w:color w:val="FFFFFF"/>
              </w:rPr>
            </w:pPr>
            <w:r>
              <w:rPr>
                <w:b/>
                <w:color w:val="FFFFFF"/>
              </w:rPr>
              <w:t>Table 2: The measure is appropriate (50%-70% of respondents believe this): Introduce proper adjustments for development</w:t>
            </w:r>
          </w:p>
        </w:tc>
      </w:tr>
      <w:tr w:rsidR="00CA2D5F">
        <w:tc>
          <w:tcPr>
            <w:tcW w:w="3505" w:type="dxa"/>
            <w:gridSpan w:val="2"/>
            <w:shd w:val="clear" w:color="auto" w:fill="7F7F7F"/>
          </w:tcPr>
          <w:p w:rsidR="00CA2D5F" w:rsidRDefault="00CA2D5F">
            <w:pPr>
              <w:jc w:val="both"/>
              <w:rPr>
                <w:b/>
              </w:rPr>
            </w:pPr>
          </w:p>
        </w:tc>
        <w:tc>
          <w:tcPr>
            <w:tcW w:w="1377" w:type="dxa"/>
            <w:shd w:val="clear" w:color="auto" w:fill="F2F2F2"/>
            <w:vAlign w:val="center"/>
          </w:tcPr>
          <w:p w:rsidR="00CA2D5F" w:rsidRDefault="008732F5">
            <w:pPr>
              <w:jc w:val="center"/>
              <w:rPr>
                <w:b/>
              </w:rPr>
            </w:pPr>
            <w:r>
              <w:rPr>
                <w:b/>
              </w:rPr>
              <w:t>Less than needed</w:t>
            </w:r>
          </w:p>
        </w:tc>
        <w:tc>
          <w:tcPr>
            <w:tcW w:w="1378" w:type="dxa"/>
            <w:shd w:val="clear" w:color="auto" w:fill="F2F2F2"/>
            <w:vAlign w:val="center"/>
          </w:tcPr>
          <w:p w:rsidR="00CA2D5F" w:rsidRDefault="008732F5">
            <w:pPr>
              <w:jc w:val="center"/>
              <w:rPr>
                <w:b/>
              </w:rPr>
            </w:pPr>
            <w:r>
              <w:rPr>
                <w:b/>
              </w:rPr>
              <w:t>Appropriate</w:t>
            </w:r>
          </w:p>
        </w:tc>
        <w:tc>
          <w:tcPr>
            <w:tcW w:w="1378" w:type="dxa"/>
            <w:shd w:val="clear" w:color="auto" w:fill="F2F2F2"/>
            <w:vAlign w:val="center"/>
          </w:tcPr>
          <w:p w:rsidR="00CA2D5F" w:rsidRDefault="008732F5">
            <w:pPr>
              <w:jc w:val="center"/>
              <w:rPr>
                <w:b/>
              </w:rPr>
            </w:pPr>
            <w:r>
              <w:rPr>
                <w:b/>
              </w:rPr>
              <w:t>Exaggerated</w:t>
            </w:r>
          </w:p>
        </w:tc>
        <w:tc>
          <w:tcPr>
            <w:tcW w:w="1378" w:type="dxa"/>
            <w:shd w:val="clear" w:color="auto" w:fill="F2F2F2"/>
            <w:vAlign w:val="center"/>
          </w:tcPr>
          <w:p w:rsidR="00CA2D5F" w:rsidRDefault="008732F5">
            <w:pPr>
              <w:jc w:val="center"/>
              <w:rPr>
                <w:b/>
              </w:rPr>
            </w:pPr>
            <w:r>
              <w:rPr>
                <w:b/>
              </w:rPr>
              <w:t>I don’t know / No answer</w:t>
            </w:r>
          </w:p>
        </w:tc>
      </w:tr>
      <w:tr w:rsidR="00CA2D5F">
        <w:tc>
          <w:tcPr>
            <w:tcW w:w="445" w:type="dxa"/>
            <w:shd w:val="clear" w:color="auto" w:fill="auto"/>
          </w:tcPr>
          <w:p w:rsidR="00CA2D5F" w:rsidRDefault="008732F5">
            <w:pPr>
              <w:jc w:val="both"/>
            </w:pPr>
            <w:r>
              <w:t>9</w:t>
            </w:r>
          </w:p>
        </w:tc>
        <w:tc>
          <w:tcPr>
            <w:tcW w:w="3060" w:type="dxa"/>
            <w:shd w:val="clear" w:color="auto" w:fill="auto"/>
          </w:tcPr>
          <w:p w:rsidR="00CA2D5F" w:rsidRDefault="008732F5">
            <w:pPr>
              <w:jc w:val="both"/>
            </w:pPr>
            <w:r>
              <w:t>Closing certain areas</w:t>
            </w:r>
          </w:p>
        </w:tc>
        <w:tc>
          <w:tcPr>
            <w:tcW w:w="1377" w:type="dxa"/>
            <w:shd w:val="clear" w:color="auto" w:fill="auto"/>
            <w:vAlign w:val="center"/>
          </w:tcPr>
          <w:p w:rsidR="00CA2D5F" w:rsidRDefault="008732F5">
            <w:pPr>
              <w:jc w:val="center"/>
            </w:pPr>
            <w:r>
              <w:t>29%</w:t>
            </w:r>
          </w:p>
        </w:tc>
        <w:tc>
          <w:tcPr>
            <w:tcW w:w="1378" w:type="dxa"/>
            <w:shd w:val="clear" w:color="auto" w:fill="auto"/>
            <w:vAlign w:val="center"/>
          </w:tcPr>
          <w:p w:rsidR="00CA2D5F" w:rsidRDefault="008732F5">
            <w:pPr>
              <w:jc w:val="center"/>
            </w:pPr>
            <w:r>
              <w:t>66%</w:t>
            </w:r>
          </w:p>
        </w:tc>
        <w:tc>
          <w:tcPr>
            <w:tcW w:w="1378" w:type="dxa"/>
            <w:shd w:val="clear" w:color="auto" w:fill="auto"/>
            <w:vAlign w:val="center"/>
          </w:tcPr>
          <w:p w:rsidR="00CA2D5F" w:rsidRDefault="008732F5">
            <w:pPr>
              <w:jc w:val="center"/>
            </w:pPr>
            <w:r>
              <w:t>2%</w:t>
            </w:r>
          </w:p>
        </w:tc>
        <w:tc>
          <w:tcPr>
            <w:tcW w:w="1378" w:type="dxa"/>
            <w:shd w:val="clear" w:color="auto" w:fill="auto"/>
            <w:vAlign w:val="center"/>
          </w:tcPr>
          <w:p w:rsidR="00CA2D5F" w:rsidRDefault="008732F5">
            <w:pPr>
              <w:jc w:val="center"/>
            </w:pPr>
            <w:r>
              <w:t>3%</w:t>
            </w:r>
          </w:p>
        </w:tc>
      </w:tr>
      <w:tr w:rsidR="00CA2D5F">
        <w:tc>
          <w:tcPr>
            <w:tcW w:w="445" w:type="dxa"/>
            <w:shd w:val="clear" w:color="auto" w:fill="auto"/>
          </w:tcPr>
          <w:p w:rsidR="00CA2D5F" w:rsidRDefault="008732F5">
            <w:pPr>
              <w:jc w:val="both"/>
            </w:pPr>
            <w:r>
              <w:lastRenderedPageBreak/>
              <w:t>10</w:t>
            </w:r>
          </w:p>
        </w:tc>
        <w:tc>
          <w:tcPr>
            <w:tcW w:w="3060" w:type="dxa"/>
            <w:shd w:val="clear" w:color="auto" w:fill="auto"/>
          </w:tcPr>
          <w:p w:rsidR="00CA2D5F" w:rsidRDefault="008732F5">
            <w:pPr>
              <w:jc w:val="both"/>
            </w:pPr>
            <w:r>
              <w:t>Preventing gatherings</w:t>
            </w:r>
          </w:p>
        </w:tc>
        <w:tc>
          <w:tcPr>
            <w:tcW w:w="1377" w:type="dxa"/>
            <w:shd w:val="clear" w:color="auto" w:fill="auto"/>
            <w:vAlign w:val="center"/>
          </w:tcPr>
          <w:p w:rsidR="00CA2D5F" w:rsidRDefault="008732F5">
            <w:pPr>
              <w:jc w:val="center"/>
            </w:pPr>
            <w:r>
              <w:t>39%</w:t>
            </w:r>
          </w:p>
        </w:tc>
        <w:tc>
          <w:tcPr>
            <w:tcW w:w="1378" w:type="dxa"/>
            <w:shd w:val="clear" w:color="auto" w:fill="auto"/>
            <w:vAlign w:val="center"/>
          </w:tcPr>
          <w:p w:rsidR="00CA2D5F" w:rsidRDefault="008732F5">
            <w:pPr>
              <w:jc w:val="center"/>
            </w:pPr>
            <w:r>
              <w:t>58%</w:t>
            </w:r>
          </w:p>
        </w:tc>
        <w:tc>
          <w:tcPr>
            <w:tcW w:w="1378" w:type="dxa"/>
            <w:shd w:val="clear" w:color="auto" w:fill="auto"/>
            <w:vAlign w:val="center"/>
          </w:tcPr>
          <w:p w:rsidR="00CA2D5F" w:rsidRDefault="008732F5">
            <w:pPr>
              <w:jc w:val="center"/>
            </w:pPr>
            <w:r>
              <w:t>3%</w:t>
            </w:r>
          </w:p>
        </w:tc>
        <w:tc>
          <w:tcPr>
            <w:tcW w:w="1378" w:type="dxa"/>
            <w:shd w:val="clear" w:color="auto" w:fill="auto"/>
            <w:vAlign w:val="center"/>
          </w:tcPr>
          <w:p w:rsidR="00CA2D5F" w:rsidRDefault="008732F5">
            <w:pPr>
              <w:jc w:val="center"/>
            </w:pPr>
            <w:r>
              <w:t>--%</w:t>
            </w:r>
          </w:p>
        </w:tc>
      </w:tr>
      <w:tr w:rsidR="00CA2D5F">
        <w:tc>
          <w:tcPr>
            <w:tcW w:w="445" w:type="dxa"/>
            <w:shd w:val="clear" w:color="auto" w:fill="auto"/>
          </w:tcPr>
          <w:p w:rsidR="00CA2D5F" w:rsidRDefault="008732F5">
            <w:pPr>
              <w:jc w:val="both"/>
            </w:pPr>
            <w:r>
              <w:t>11</w:t>
            </w:r>
          </w:p>
        </w:tc>
        <w:tc>
          <w:tcPr>
            <w:tcW w:w="3060" w:type="dxa"/>
            <w:shd w:val="clear" w:color="auto" w:fill="auto"/>
          </w:tcPr>
          <w:p w:rsidR="00CA2D5F" w:rsidRDefault="008732F5">
            <w:pPr>
              <w:jc w:val="both"/>
            </w:pPr>
            <w:r>
              <w:t>Dealing with issues of the border with Jordan</w:t>
            </w:r>
          </w:p>
        </w:tc>
        <w:tc>
          <w:tcPr>
            <w:tcW w:w="1377" w:type="dxa"/>
            <w:shd w:val="clear" w:color="auto" w:fill="auto"/>
            <w:vAlign w:val="center"/>
          </w:tcPr>
          <w:p w:rsidR="00CA2D5F" w:rsidRDefault="008732F5">
            <w:pPr>
              <w:jc w:val="center"/>
            </w:pPr>
            <w:r>
              <w:t>36%</w:t>
            </w:r>
          </w:p>
        </w:tc>
        <w:tc>
          <w:tcPr>
            <w:tcW w:w="1378" w:type="dxa"/>
            <w:shd w:val="clear" w:color="auto" w:fill="auto"/>
            <w:vAlign w:val="center"/>
          </w:tcPr>
          <w:p w:rsidR="00CA2D5F" w:rsidRDefault="008732F5">
            <w:pPr>
              <w:jc w:val="center"/>
            </w:pPr>
            <w:r>
              <w:t>53%</w:t>
            </w:r>
          </w:p>
        </w:tc>
        <w:tc>
          <w:tcPr>
            <w:tcW w:w="1378" w:type="dxa"/>
            <w:shd w:val="clear" w:color="auto" w:fill="auto"/>
            <w:vAlign w:val="center"/>
          </w:tcPr>
          <w:p w:rsidR="00CA2D5F" w:rsidRDefault="008732F5">
            <w:pPr>
              <w:jc w:val="center"/>
            </w:pPr>
            <w:r>
              <w:t>2%</w:t>
            </w:r>
          </w:p>
        </w:tc>
        <w:tc>
          <w:tcPr>
            <w:tcW w:w="1378" w:type="dxa"/>
            <w:shd w:val="clear" w:color="auto" w:fill="auto"/>
            <w:vAlign w:val="center"/>
          </w:tcPr>
          <w:p w:rsidR="00CA2D5F" w:rsidRDefault="008732F5">
            <w:pPr>
              <w:jc w:val="center"/>
            </w:pPr>
            <w:r>
              <w:t>9%</w:t>
            </w:r>
          </w:p>
        </w:tc>
      </w:tr>
    </w:tbl>
    <w:p w:rsidR="00CA2D5F" w:rsidRDefault="00CA2D5F">
      <w:pPr>
        <w:spacing w:line="240" w:lineRule="auto"/>
        <w:jc w:val="both"/>
      </w:pPr>
    </w:p>
    <w:p w:rsidR="00CA2D5F" w:rsidRDefault="008732F5">
      <w:pPr>
        <w:spacing w:line="240" w:lineRule="auto"/>
        <w:jc w:val="both"/>
        <w:rPr>
          <w:u w:val="single"/>
        </w:rPr>
      </w:pPr>
      <w:r>
        <w:rPr>
          <w:u w:val="single"/>
        </w:rPr>
        <w:t>Category 3: Measures that need significant development</w:t>
      </w:r>
    </w:p>
    <w:p w:rsidR="00CA2D5F" w:rsidRDefault="008732F5">
      <w:pPr>
        <w:spacing w:line="240" w:lineRule="auto"/>
        <w:jc w:val="both"/>
      </w:pPr>
      <w:r>
        <w:t>The respondents considered nine measures requiring major developments, namely: adequacy (availability and quality) of quarantine centers, dealing with the issue of borders with Egypt, adequacy (availability and quality) of examination centers, finding alternatives to school education, dealing with checks and accumulation of debt issues, compensating the unemployed, and compensating businesses. The measure that received the lowest evaluation was clearly the government’s handling of the issue of workers in Israel and settlements, where two-thirds of respondents considered it to be less than needed.</w:t>
      </w:r>
    </w:p>
    <w:tbl>
      <w:tblPr>
        <w:tblStyle w:val="a1"/>
        <w:tblW w:w="909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540"/>
        <w:gridCol w:w="2970"/>
        <w:gridCol w:w="1377"/>
        <w:gridCol w:w="1378"/>
        <w:gridCol w:w="1387"/>
        <w:gridCol w:w="1440"/>
      </w:tblGrid>
      <w:tr w:rsidR="00CA2D5F">
        <w:tc>
          <w:tcPr>
            <w:tcW w:w="9092" w:type="dxa"/>
            <w:gridSpan w:val="6"/>
            <w:shd w:val="clear" w:color="auto" w:fill="7F7F7F"/>
          </w:tcPr>
          <w:p w:rsidR="00CA2D5F" w:rsidRDefault="008732F5">
            <w:pPr>
              <w:jc w:val="both"/>
              <w:rPr>
                <w:b/>
                <w:color w:val="FFFFFF"/>
              </w:rPr>
            </w:pPr>
            <w:r>
              <w:rPr>
                <w:b/>
                <w:noProof/>
                <w:color w:val="FFFFFF"/>
              </w:rPr>
              <w:drawing>
                <wp:inline distT="0" distB="0" distL="0" distR="0">
                  <wp:extent cx="350520" cy="350520"/>
                  <wp:effectExtent l="0" t="0" r="0" b="0"/>
                  <wp:docPr id="10" name="image3.png" descr="C:\Users\user\AppData\Local\Microsoft\Windows\INetCache\IE\4AAMCXDR\600px-Empty_Star.svg[1].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IE\4AAMCXDR\600px-Empty_Star.svg[1].png"/>
                          <pic:cNvPicPr preferRelativeResize="0"/>
                        </pic:nvPicPr>
                        <pic:blipFill>
                          <a:blip r:embed="rId13"/>
                          <a:srcRect/>
                          <a:stretch>
                            <a:fillRect/>
                          </a:stretch>
                        </pic:blipFill>
                        <pic:spPr>
                          <a:xfrm>
                            <a:off x="0" y="0"/>
                            <a:ext cx="350520" cy="350520"/>
                          </a:xfrm>
                          <a:prstGeom prst="rect">
                            <a:avLst/>
                          </a:prstGeom>
                          <a:ln/>
                        </pic:spPr>
                      </pic:pic>
                    </a:graphicData>
                  </a:graphic>
                </wp:inline>
              </w:drawing>
            </w:r>
          </w:p>
          <w:p w:rsidR="00CA2D5F" w:rsidRDefault="008732F5">
            <w:pPr>
              <w:jc w:val="both"/>
              <w:rPr>
                <w:b/>
                <w:color w:val="FFFFFF"/>
              </w:rPr>
            </w:pPr>
            <w:r>
              <w:rPr>
                <w:b/>
                <w:color w:val="FFFFFF"/>
              </w:rPr>
              <w:t>Table 3: The measure is appropriate (less than 50% of respondents believe this): substantial developments are required</w:t>
            </w:r>
          </w:p>
        </w:tc>
      </w:tr>
      <w:tr w:rsidR="00CA2D5F">
        <w:tc>
          <w:tcPr>
            <w:tcW w:w="3510" w:type="dxa"/>
            <w:gridSpan w:val="2"/>
            <w:shd w:val="clear" w:color="auto" w:fill="7F7F7F"/>
          </w:tcPr>
          <w:p w:rsidR="00CA2D5F" w:rsidRDefault="00CA2D5F">
            <w:pPr>
              <w:jc w:val="both"/>
              <w:rPr>
                <w:b/>
              </w:rPr>
            </w:pPr>
          </w:p>
        </w:tc>
        <w:tc>
          <w:tcPr>
            <w:tcW w:w="1377" w:type="dxa"/>
            <w:shd w:val="clear" w:color="auto" w:fill="F2F2F2"/>
            <w:vAlign w:val="center"/>
          </w:tcPr>
          <w:p w:rsidR="00CA2D5F" w:rsidRDefault="008732F5">
            <w:pPr>
              <w:jc w:val="center"/>
              <w:rPr>
                <w:b/>
              </w:rPr>
            </w:pPr>
            <w:r>
              <w:rPr>
                <w:b/>
              </w:rPr>
              <w:t>Less than needed</w:t>
            </w:r>
          </w:p>
        </w:tc>
        <w:tc>
          <w:tcPr>
            <w:tcW w:w="1378" w:type="dxa"/>
            <w:shd w:val="clear" w:color="auto" w:fill="F2F2F2"/>
            <w:vAlign w:val="center"/>
          </w:tcPr>
          <w:p w:rsidR="00CA2D5F" w:rsidRDefault="008732F5">
            <w:pPr>
              <w:jc w:val="center"/>
              <w:rPr>
                <w:b/>
              </w:rPr>
            </w:pPr>
            <w:r>
              <w:rPr>
                <w:b/>
              </w:rPr>
              <w:t>Appropriate</w:t>
            </w:r>
          </w:p>
        </w:tc>
        <w:tc>
          <w:tcPr>
            <w:tcW w:w="1387" w:type="dxa"/>
            <w:shd w:val="clear" w:color="auto" w:fill="F2F2F2"/>
            <w:vAlign w:val="center"/>
          </w:tcPr>
          <w:p w:rsidR="00CA2D5F" w:rsidRDefault="008732F5">
            <w:pPr>
              <w:jc w:val="center"/>
              <w:rPr>
                <w:b/>
              </w:rPr>
            </w:pPr>
            <w:r>
              <w:rPr>
                <w:b/>
              </w:rPr>
              <w:t>Exaggerated</w:t>
            </w:r>
          </w:p>
        </w:tc>
        <w:tc>
          <w:tcPr>
            <w:tcW w:w="1440" w:type="dxa"/>
            <w:shd w:val="clear" w:color="auto" w:fill="F2F2F2"/>
            <w:vAlign w:val="center"/>
          </w:tcPr>
          <w:p w:rsidR="00CA2D5F" w:rsidRDefault="008732F5">
            <w:pPr>
              <w:jc w:val="center"/>
              <w:rPr>
                <w:b/>
              </w:rPr>
            </w:pPr>
            <w:r>
              <w:rPr>
                <w:b/>
              </w:rPr>
              <w:t>I don’t know / No answer</w:t>
            </w:r>
          </w:p>
        </w:tc>
      </w:tr>
      <w:tr w:rsidR="00CA2D5F">
        <w:tc>
          <w:tcPr>
            <w:tcW w:w="540" w:type="dxa"/>
            <w:shd w:val="clear" w:color="auto" w:fill="auto"/>
          </w:tcPr>
          <w:p w:rsidR="00CA2D5F" w:rsidRDefault="008732F5">
            <w:pPr>
              <w:jc w:val="both"/>
            </w:pPr>
            <w:r>
              <w:t>12</w:t>
            </w:r>
          </w:p>
        </w:tc>
        <w:tc>
          <w:tcPr>
            <w:tcW w:w="2970" w:type="dxa"/>
            <w:shd w:val="clear" w:color="auto" w:fill="auto"/>
          </w:tcPr>
          <w:p w:rsidR="00CA2D5F" w:rsidRDefault="008732F5">
            <w:pPr>
              <w:jc w:val="both"/>
            </w:pPr>
            <w:r>
              <w:t>Issues of checks and accumulation of debts</w:t>
            </w:r>
          </w:p>
        </w:tc>
        <w:tc>
          <w:tcPr>
            <w:tcW w:w="1377" w:type="dxa"/>
            <w:shd w:val="clear" w:color="auto" w:fill="auto"/>
            <w:vAlign w:val="center"/>
          </w:tcPr>
          <w:p w:rsidR="00CA2D5F" w:rsidRDefault="008732F5">
            <w:pPr>
              <w:jc w:val="center"/>
            </w:pPr>
            <w:r>
              <w:t>33%</w:t>
            </w:r>
          </w:p>
        </w:tc>
        <w:tc>
          <w:tcPr>
            <w:tcW w:w="1378" w:type="dxa"/>
            <w:shd w:val="clear" w:color="auto" w:fill="auto"/>
            <w:vAlign w:val="center"/>
          </w:tcPr>
          <w:p w:rsidR="00CA2D5F" w:rsidRDefault="008732F5">
            <w:pPr>
              <w:jc w:val="center"/>
            </w:pPr>
            <w:r>
              <w:t>45%</w:t>
            </w:r>
          </w:p>
        </w:tc>
        <w:tc>
          <w:tcPr>
            <w:tcW w:w="1387" w:type="dxa"/>
            <w:shd w:val="clear" w:color="auto" w:fill="auto"/>
            <w:vAlign w:val="center"/>
          </w:tcPr>
          <w:p w:rsidR="00CA2D5F" w:rsidRDefault="008732F5">
            <w:pPr>
              <w:jc w:val="center"/>
            </w:pPr>
            <w:r>
              <w:t>4%</w:t>
            </w:r>
          </w:p>
        </w:tc>
        <w:tc>
          <w:tcPr>
            <w:tcW w:w="1440" w:type="dxa"/>
            <w:shd w:val="clear" w:color="auto" w:fill="auto"/>
            <w:vAlign w:val="center"/>
          </w:tcPr>
          <w:p w:rsidR="00CA2D5F" w:rsidRDefault="008732F5">
            <w:pPr>
              <w:jc w:val="center"/>
            </w:pPr>
            <w:r>
              <w:t>18%</w:t>
            </w:r>
          </w:p>
        </w:tc>
      </w:tr>
      <w:tr w:rsidR="00CA2D5F">
        <w:tc>
          <w:tcPr>
            <w:tcW w:w="540" w:type="dxa"/>
            <w:shd w:val="clear" w:color="auto" w:fill="auto"/>
          </w:tcPr>
          <w:p w:rsidR="00CA2D5F" w:rsidRDefault="008732F5">
            <w:pPr>
              <w:jc w:val="both"/>
            </w:pPr>
            <w:r>
              <w:t>13</w:t>
            </w:r>
          </w:p>
        </w:tc>
        <w:tc>
          <w:tcPr>
            <w:tcW w:w="2970" w:type="dxa"/>
            <w:shd w:val="clear" w:color="auto" w:fill="auto"/>
          </w:tcPr>
          <w:p w:rsidR="00CA2D5F" w:rsidRDefault="008732F5">
            <w:pPr>
              <w:jc w:val="both"/>
            </w:pPr>
            <w:r>
              <w:t>Dealing with issues of the border with Egypt</w:t>
            </w:r>
          </w:p>
        </w:tc>
        <w:tc>
          <w:tcPr>
            <w:tcW w:w="1377" w:type="dxa"/>
            <w:shd w:val="clear" w:color="auto" w:fill="auto"/>
            <w:vAlign w:val="center"/>
          </w:tcPr>
          <w:p w:rsidR="00CA2D5F" w:rsidRDefault="008732F5">
            <w:pPr>
              <w:jc w:val="center"/>
            </w:pPr>
            <w:r>
              <w:t>35%</w:t>
            </w:r>
          </w:p>
        </w:tc>
        <w:tc>
          <w:tcPr>
            <w:tcW w:w="1378" w:type="dxa"/>
            <w:shd w:val="clear" w:color="auto" w:fill="auto"/>
            <w:vAlign w:val="center"/>
          </w:tcPr>
          <w:p w:rsidR="00CA2D5F" w:rsidRDefault="008732F5">
            <w:pPr>
              <w:jc w:val="center"/>
            </w:pPr>
            <w:r>
              <w:t>45%</w:t>
            </w:r>
          </w:p>
        </w:tc>
        <w:tc>
          <w:tcPr>
            <w:tcW w:w="1387" w:type="dxa"/>
            <w:shd w:val="clear" w:color="auto" w:fill="auto"/>
            <w:vAlign w:val="center"/>
          </w:tcPr>
          <w:p w:rsidR="00CA2D5F" w:rsidRDefault="008732F5">
            <w:pPr>
              <w:jc w:val="center"/>
            </w:pPr>
            <w:r>
              <w:t>2%</w:t>
            </w:r>
          </w:p>
        </w:tc>
        <w:tc>
          <w:tcPr>
            <w:tcW w:w="1440" w:type="dxa"/>
            <w:shd w:val="clear" w:color="auto" w:fill="auto"/>
            <w:vAlign w:val="center"/>
          </w:tcPr>
          <w:p w:rsidR="00CA2D5F" w:rsidRDefault="008732F5">
            <w:pPr>
              <w:jc w:val="center"/>
            </w:pPr>
            <w:r>
              <w:t>18%</w:t>
            </w:r>
          </w:p>
        </w:tc>
      </w:tr>
      <w:tr w:rsidR="00CA2D5F">
        <w:tc>
          <w:tcPr>
            <w:tcW w:w="540" w:type="dxa"/>
            <w:shd w:val="clear" w:color="auto" w:fill="auto"/>
          </w:tcPr>
          <w:p w:rsidR="00CA2D5F" w:rsidRDefault="008732F5">
            <w:pPr>
              <w:jc w:val="both"/>
            </w:pPr>
            <w:r>
              <w:t>14</w:t>
            </w:r>
          </w:p>
        </w:tc>
        <w:tc>
          <w:tcPr>
            <w:tcW w:w="2970" w:type="dxa"/>
            <w:shd w:val="clear" w:color="auto" w:fill="auto"/>
          </w:tcPr>
          <w:p w:rsidR="00CA2D5F" w:rsidRDefault="008732F5">
            <w:pPr>
              <w:jc w:val="both"/>
            </w:pPr>
            <w:r>
              <w:t>Sufficiency (availability and quality) of quarantine centers</w:t>
            </w:r>
          </w:p>
        </w:tc>
        <w:tc>
          <w:tcPr>
            <w:tcW w:w="1377" w:type="dxa"/>
            <w:shd w:val="clear" w:color="auto" w:fill="auto"/>
            <w:vAlign w:val="center"/>
          </w:tcPr>
          <w:p w:rsidR="00CA2D5F" w:rsidRDefault="008732F5">
            <w:pPr>
              <w:jc w:val="center"/>
            </w:pPr>
            <w:r>
              <w:t>44%</w:t>
            </w:r>
          </w:p>
        </w:tc>
        <w:tc>
          <w:tcPr>
            <w:tcW w:w="1378" w:type="dxa"/>
            <w:shd w:val="clear" w:color="auto" w:fill="auto"/>
            <w:vAlign w:val="center"/>
          </w:tcPr>
          <w:p w:rsidR="00CA2D5F" w:rsidRDefault="008732F5">
            <w:pPr>
              <w:jc w:val="center"/>
            </w:pPr>
            <w:r>
              <w:t>48%</w:t>
            </w:r>
          </w:p>
        </w:tc>
        <w:tc>
          <w:tcPr>
            <w:tcW w:w="1387" w:type="dxa"/>
            <w:shd w:val="clear" w:color="auto" w:fill="auto"/>
            <w:vAlign w:val="center"/>
          </w:tcPr>
          <w:p w:rsidR="00CA2D5F" w:rsidRDefault="008732F5">
            <w:pPr>
              <w:jc w:val="center"/>
            </w:pPr>
            <w:r>
              <w:t>--%</w:t>
            </w:r>
          </w:p>
        </w:tc>
        <w:tc>
          <w:tcPr>
            <w:tcW w:w="1440" w:type="dxa"/>
            <w:shd w:val="clear" w:color="auto" w:fill="auto"/>
            <w:vAlign w:val="center"/>
          </w:tcPr>
          <w:p w:rsidR="00CA2D5F" w:rsidRDefault="008732F5">
            <w:pPr>
              <w:jc w:val="center"/>
            </w:pPr>
            <w:r>
              <w:t>8%</w:t>
            </w:r>
          </w:p>
        </w:tc>
      </w:tr>
      <w:tr w:rsidR="00CA2D5F">
        <w:tc>
          <w:tcPr>
            <w:tcW w:w="540" w:type="dxa"/>
            <w:shd w:val="clear" w:color="auto" w:fill="auto"/>
          </w:tcPr>
          <w:p w:rsidR="00CA2D5F" w:rsidRDefault="008732F5">
            <w:pPr>
              <w:jc w:val="both"/>
            </w:pPr>
            <w:r>
              <w:t>15</w:t>
            </w:r>
          </w:p>
        </w:tc>
        <w:tc>
          <w:tcPr>
            <w:tcW w:w="2970" w:type="dxa"/>
            <w:shd w:val="clear" w:color="auto" w:fill="auto"/>
          </w:tcPr>
          <w:p w:rsidR="00CA2D5F" w:rsidRDefault="008732F5">
            <w:pPr>
              <w:jc w:val="both"/>
            </w:pPr>
            <w:r>
              <w:t>Finding alternatives to school education (distance education)</w:t>
            </w:r>
          </w:p>
        </w:tc>
        <w:tc>
          <w:tcPr>
            <w:tcW w:w="1377" w:type="dxa"/>
            <w:shd w:val="clear" w:color="auto" w:fill="auto"/>
            <w:vAlign w:val="center"/>
          </w:tcPr>
          <w:p w:rsidR="00CA2D5F" w:rsidRDefault="008732F5">
            <w:pPr>
              <w:jc w:val="center"/>
            </w:pPr>
            <w:r>
              <w:t>44%</w:t>
            </w:r>
          </w:p>
        </w:tc>
        <w:tc>
          <w:tcPr>
            <w:tcW w:w="1378" w:type="dxa"/>
            <w:shd w:val="clear" w:color="auto" w:fill="auto"/>
            <w:vAlign w:val="center"/>
          </w:tcPr>
          <w:p w:rsidR="00CA2D5F" w:rsidRDefault="008732F5">
            <w:pPr>
              <w:jc w:val="center"/>
            </w:pPr>
            <w:r>
              <w:t>43%</w:t>
            </w:r>
          </w:p>
        </w:tc>
        <w:tc>
          <w:tcPr>
            <w:tcW w:w="1387" w:type="dxa"/>
            <w:shd w:val="clear" w:color="auto" w:fill="auto"/>
            <w:vAlign w:val="center"/>
          </w:tcPr>
          <w:p w:rsidR="00CA2D5F" w:rsidRDefault="008732F5">
            <w:pPr>
              <w:jc w:val="center"/>
            </w:pPr>
            <w:r>
              <w:t>6%</w:t>
            </w:r>
          </w:p>
        </w:tc>
        <w:tc>
          <w:tcPr>
            <w:tcW w:w="1440" w:type="dxa"/>
            <w:shd w:val="clear" w:color="auto" w:fill="auto"/>
            <w:vAlign w:val="center"/>
          </w:tcPr>
          <w:p w:rsidR="00CA2D5F" w:rsidRDefault="008732F5">
            <w:pPr>
              <w:jc w:val="center"/>
            </w:pPr>
            <w:r>
              <w:t>7%</w:t>
            </w:r>
          </w:p>
        </w:tc>
      </w:tr>
      <w:tr w:rsidR="00CA2D5F">
        <w:tc>
          <w:tcPr>
            <w:tcW w:w="540" w:type="dxa"/>
            <w:shd w:val="clear" w:color="auto" w:fill="auto"/>
          </w:tcPr>
          <w:p w:rsidR="00CA2D5F" w:rsidRDefault="008732F5">
            <w:pPr>
              <w:jc w:val="both"/>
            </w:pPr>
            <w:r>
              <w:t>16</w:t>
            </w:r>
          </w:p>
        </w:tc>
        <w:tc>
          <w:tcPr>
            <w:tcW w:w="2970" w:type="dxa"/>
            <w:shd w:val="clear" w:color="auto" w:fill="auto"/>
          </w:tcPr>
          <w:p w:rsidR="00CA2D5F" w:rsidRDefault="008732F5">
            <w:pPr>
              <w:jc w:val="both"/>
            </w:pPr>
            <w:r>
              <w:t xml:space="preserve">Sufficiency (availability and quality) of examination centers </w:t>
            </w:r>
          </w:p>
        </w:tc>
        <w:tc>
          <w:tcPr>
            <w:tcW w:w="1377" w:type="dxa"/>
            <w:shd w:val="clear" w:color="auto" w:fill="auto"/>
            <w:vAlign w:val="center"/>
          </w:tcPr>
          <w:p w:rsidR="00CA2D5F" w:rsidRDefault="008732F5">
            <w:pPr>
              <w:jc w:val="center"/>
            </w:pPr>
            <w:r>
              <w:t>49%</w:t>
            </w:r>
          </w:p>
        </w:tc>
        <w:tc>
          <w:tcPr>
            <w:tcW w:w="1378" w:type="dxa"/>
            <w:shd w:val="clear" w:color="auto" w:fill="auto"/>
            <w:vAlign w:val="center"/>
          </w:tcPr>
          <w:p w:rsidR="00CA2D5F" w:rsidRDefault="008732F5">
            <w:pPr>
              <w:jc w:val="center"/>
            </w:pPr>
            <w:r>
              <w:t>42%</w:t>
            </w:r>
          </w:p>
        </w:tc>
        <w:tc>
          <w:tcPr>
            <w:tcW w:w="1387" w:type="dxa"/>
            <w:shd w:val="clear" w:color="auto" w:fill="auto"/>
            <w:vAlign w:val="center"/>
          </w:tcPr>
          <w:p w:rsidR="00CA2D5F" w:rsidRDefault="008732F5">
            <w:pPr>
              <w:jc w:val="center"/>
            </w:pPr>
            <w:r>
              <w:t>--%</w:t>
            </w:r>
          </w:p>
        </w:tc>
        <w:tc>
          <w:tcPr>
            <w:tcW w:w="1440" w:type="dxa"/>
            <w:shd w:val="clear" w:color="auto" w:fill="auto"/>
            <w:vAlign w:val="center"/>
          </w:tcPr>
          <w:p w:rsidR="00CA2D5F" w:rsidRDefault="008732F5">
            <w:pPr>
              <w:jc w:val="center"/>
            </w:pPr>
            <w:r>
              <w:t>9%</w:t>
            </w:r>
          </w:p>
        </w:tc>
      </w:tr>
      <w:tr w:rsidR="00CA2D5F">
        <w:tc>
          <w:tcPr>
            <w:tcW w:w="540" w:type="dxa"/>
            <w:shd w:val="clear" w:color="auto" w:fill="auto"/>
          </w:tcPr>
          <w:p w:rsidR="00CA2D5F" w:rsidRDefault="008732F5">
            <w:pPr>
              <w:jc w:val="both"/>
            </w:pPr>
            <w:r>
              <w:t>17</w:t>
            </w:r>
          </w:p>
        </w:tc>
        <w:tc>
          <w:tcPr>
            <w:tcW w:w="2970" w:type="dxa"/>
            <w:shd w:val="clear" w:color="auto" w:fill="auto"/>
          </w:tcPr>
          <w:p w:rsidR="00CA2D5F" w:rsidRDefault="008732F5">
            <w:pPr>
              <w:jc w:val="both"/>
            </w:pPr>
            <w:r>
              <w:t>Compensation for businesses</w:t>
            </w:r>
          </w:p>
        </w:tc>
        <w:tc>
          <w:tcPr>
            <w:tcW w:w="1377" w:type="dxa"/>
            <w:shd w:val="clear" w:color="auto" w:fill="auto"/>
            <w:vAlign w:val="center"/>
          </w:tcPr>
          <w:p w:rsidR="00CA2D5F" w:rsidRDefault="008732F5">
            <w:pPr>
              <w:jc w:val="center"/>
            </w:pPr>
            <w:r>
              <w:t>45%</w:t>
            </w:r>
          </w:p>
        </w:tc>
        <w:tc>
          <w:tcPr>
            <w:tcW w:w="1378" w:type="dxa"/>
            <w:shd w:val="clear" w:color="auto" w:fill="auto"/>
            <w:vAlign w:val="center"/>
          </w:tcPr>
          <w:p w:rsidR="00CA2D5F" w:rsidRDefault="008732F5">
            <w:pPr>
              <w:jc w:val="center"/>
            </w:pPr>
            <w:r>
              <w:t>22%</w:t>
            </w:r>
          </w:p>
        </w:tc>
        <w:tc>
          <w:tcPr>
            <w:tcW w:w="1387" w:type="dxa"/>
            <w:shd w:val="clear" w:color="auto" w:fill="auto"/>
            <w:vAlign w:val="center"/>
          </w:tcPr>
          <w:p w:rsidR="00CA2D5F" w:rsidRDefault="008732F5">
            <w:pPr>
              <w:jc w:val="center"/>
            </w:pPr>
            <w:r>
              <w:t>3%</w:t>
            </w:r>
          </w:p>
        </w:tc>
        <w:tc>
          <w:tcPr>
            <w:tcW w:w="1440" w:type="dxa"/>
            <w:shd w:val="clear" w:color="auto" w:fill="auto"/>
            <w:vAlign w:val="center"/>
          </w:tcPr>
          <w:p w:rsidR="00CA2D5F" w:rsidRDefault="008732F5">
            <w:pPr>
              <w:jc w:val="center"/>
            </w:pPr>
            <w:r>
              <w:t>30%</w:t>
            </w:r>
          </w:p>
        </w:tc>
      </w:tr>
      <w:tr w:rsidR="00CA2D5F">
        <w:tc>
          <w:tcPr>
            <w:tcW w:w="540" w:type="dxa"/>
            <w:shd w:val="clear" w:color="auto" w:fill="auto"/>
          </w:tcPr>
          <w:p w:rsidR="00CA2D5F" w:rsidRDefault="008732F5">
            <w:pPr>
              <w:jc w:val="both"/>
            </w:pPr>
            <w:r>
              <w:t>18</w:t>
            </w:r>
          </w:p>
        </w:tc>
        <w:tc>
          <w:tcPr>
            <w:tcW w:w="2970" w:type="dxa"/>
            <w:shd w:val="clear" w:color="auto" w:fill="auto"/>
          </w:tcPr>
          <w:p w:rsidR="00CA2D5F" w:rsidRDefault="008732F5">
            <w:pPr>
              <w:jc w:val="both"/>
            </w:pPr>
            <w:r>
              <w:t>Compensation for the unemployed</w:t>
            </w:r>
          </w:p>
        </w:tc>
        <w:tc>
          <w:tcPr>
            <w:tcW w:w="1377" w:type="dxa"/>
            <w:shd w:val="clear" w:color="auto" w:fill="auto"/>
            <w:vAlign w:val="center"/>
          </w:tcPr>
          <w:p w:rsidR="00CA2D5F" w:rsidRDefault="008732F5">
            <w:pPr>
              <w:jc w:val="center"/>
            </w:pPr>
            <w:r>
              <w:t>63%</w:t>
            </w:r>
          </w:p>
        </w:tc>
        <w:tc>
          <w:tcPr>
            <w:tcW w:w="1378" w:type="dxa"/>
            <w:shd w:val="clear" w:color="auto" w:fill="auto"/>
            <w:vAlign w:val="center"/>
          </w:tcPr>
          <w:p w:rsidR="00CA2D5F" w:rsidRDefault="008732F5">
            <w:pPr>
              <w:jc w:val="center"/>
            </w:pPr>
            <w:r>
              <w:t>23%</w:t>
            </w:r>
          </w:p>
        </w:tc>
        <w:tc>
          <w:tcPr>
            <w:tcW w:w="1387" w:type="dxa"/>
            <w:shd w:val="clear" w:color="auto" w:fill="auto"/>
            <w:vAlign w:val="center"/>
          </w:tcPr>
          <w:p w:rsidR="00CA2D5F" w:rsidRDefault="008732F5">
            <w:pPr>
              <w:jc w:val="center"/>
            </w:pPr>
            <w:r>
              <w:t>1%</w:t>
            </w:r>
          </w:p>
        </w:tc>
        <w:tc>
          <w:tcPr>
            <w:tcW w:w="1440" w:type="dxa"/>
            <w:shd w:val="clear" w:color="auto" w:fill="auto"/>
            <w:vAlign w:val="center"/>
          </w:tcPr>
          <w:p w:rsidR="00CA2D5F" w:rsidRDefault="008732F5">
            <w:pPr>
              <w:jc w:val="center"/>
            </w:pPr>
            <w:r>
              <w:t>13%</w:t>
            </w:r>
          </w:p>
        </w:tc>
      </w:tr>
      <w:tr w:rsidR="00CA2D5F">
        <w:tc>
          <w:tcPr>
            <w:tcW w:w="540" w:type="dxa"/>
            <w:shd w:val="clear" w:color="auto" w:fill="auto"/>
          </w:tcPr>
          <w:p w:rsidR="00CA2D5F" w:rsidRDefault="008732F5">
            <w:pPr>
              <w:jc w:val="both"/>
            </w:pPr>
            <w:r>
              <w:t>19</w:t>
            </w:r>
          </w:p>
        </w:tc>
        <w:tc>
          <w:tcPr>
            <w:tcW w:w="2970" w:type="dxa"/>
            <w:shd w:val="clear" w:color="auto" w:fill="auto"/>
          </w:tcPr>
          <w:p w:rsidR="00CA2D5F" w:rsidRDefault="008732F5">
            <w:pPr>
              <w:jc w:val="both"/>
            </w:pPr>
            <w:r>
              <w:t>Dealing with the issue of workers in Israel and settlements</w:t>
            </w:r>
          </w:p>
        </w:tc>
        <w:tc>
          <w:tcPr>
            <w:tcW w:w="1377" w:type="dxa"/>
            <w:shd w:val="clear" w:color="auto" w:fill="auto"/>
            <w:vAlign w:val="center"/>
          </w:tcPr>
          <w:p w:rsidR="00CA2D5F" w:rsidRDefault="008732F5">
            <w:pPr>
              <w:jc w:val="center"/>
            </w:pPr>
            <w:r>
              <w:t>67%</w:t>
            </w:r>
          </w:p>
        </w:tc>
        <w:tc>
          <w:tcPr>
            <w:tcW w:w="1378" w:type="dxa"/>
            <w:shd w:val="clear" w:color="auto" w:fill="auto"/>
            <w:vAlign w:val="center"/>
          </w:tcPr>
          <w:p w:rsidR="00CA2D5F" w:rsidRDefault="008732F5">
            <w:pPr>
              <w:jc w:val="center"/>
            </w:pPr>
            <w:r>
              <w:t>26%</w:t>
            </w:r>
          </w:p>
        </w:tc>
        <w:tc>
          <w:tcPr>
            <w:tcW w:w="1387" w:type="dxa"/>
            <w:shd w:val="clear" w:color="auto" w:fill="auto"/>
            <w:vAlign w:val="center"/>
          </w:tcPr>
          <w:p w:rsidR="00CA2D5F" w:rsidRDefault="008732F5">
            <w:pPr>
              <w:jc w:val="center"/>
            </w:pPr>
            <w:r>
              <w:t>3%</w:t>
            </w:r>
          </w:p>
        </w:tc>
        <w:tc>
          <w:tcPr>
            <w:tcW w:w="1440" w:type="dxa"/>
            <w:shd w:val="clear" w:color="auto" w:fill="auto"/>
            <w:vAlign w:val="center"/>
          </w:tcPr>
          <w:p w:rsidR="00CA2D5F" w:rsidRDefault="008732F5">
            <w:pPr>
              <w:jc w:val="center"/>
            </w:pPr>
            <w:r>
              <w:t>4%</w:t>
            </w:r>
          </w:p>
        </w:tc>
      </w:tr>
    </w:tbl>
    <w:p w:rsidR="00CA2D5F" w:rsidRDefault="00CA2D5F">
      <w:pPr>
        <w:spacing w:line="240" w:lineRule="auto"/>
        <w:jc w:val="both"/>
      </w:pPr>
    </w:p>
    <w:p w:rsidR="00CA2D5F" w:rsidRDefault="008732F5">
      <w:pPr>
        <w:spacing w:line="240" w:lineRule="auto"/>
        <w:jc w:val="both"/>
      </w:pPr>
      <w:r>
        <w:rPr>
          <w:noProof/>
        </w:rPr>
        <mc:AlternateContent>
          <mc:Choice Requires="wpg">
            <w:drawing>
              <wp:inline distT="0" distB="0" distL="0" distR="0">
                <wp:extent cx="5676900" cy="1971675"/>
                <wp:effectExtent l="0" t="0" r="0" b="0"/>
                <wp:docPr id="1" name="Group 1"/>
                <wp:cNvGraphicFramePr/>
                <a:graphic xmlns:a="http://schemas.openxmlformats.org/drawingml/2006/main">
                  <a:graphicData uri="http://schemas.microsoft.com/office/word/2010/wordprocessingGroup">
                    <wpg:wgp>
                      <wpg:cNvGrpSpPr/>
                      <wpg:grpSpPr>
                        <a:xfrm>
                          <a:off x="0" y="0"/>
                          <a:ext cx="5676900" cy="1971675"/>
                          <a:chOff x="0" y="0"/>
                          <a:chExt cx="5676900" cy="1971675"/>
                        </a:xfrm>
                      </wpg:grpSpPr>
                      <wpg:grpSp>
                        <wpg:cNvPr id="9" name="Group 9"/>
                        <wpg:cNvGrpSpPr/>
                        <wpg:grpSpPr>
                          <a:xfrm>
                            <a:off x="0" y="0"/>
                            <a:ext cx="5676900" cy="1971675"/>
                            <a:chOff x="0" y="0"/>
                            <a:chExt cx="5676900" cy="1971675"/>
                          </a:xfrm>
                        </wpg:grpSpPr>
                        <wps:wsp>
                          <wps:cNvPr id="11" name="Rectangle 11"/>
                          <wps:cNvSpPr/>
                          <wps:spPr>
                            <a:xfrm>
                              <a:off x="0" y="0"/>
                              <a:ext cx="5676900" cy="1971675"/>
                            </a:xfrm>
                            <a:prstGeom prst="rect">
                              <a:avLst/>
                            </a:prstGeom>
                            <a:noFill/>
                            <a:ln>
                              <a:noFill/>
                            </a:ln>
                          </wps:spPr>
                          <wps:txbx>
                            <w:txbxContent>
                              <w:p w:rsidR="00CA2D5F" w:rsidRDefault="00CA2D5F">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27" y="2669"/>
                              <a:ext cx="2652731" cy="505995"/>
                            </a:xfrm>
                            <a:prstGeom prst="rect">
                              <a:avLst/>
                            </a:prstGeom>
                            <a:solidFill>
                              <a:schemeClr val="accent1"/>
                            </a:solidFill>
                            <a:ln w="12700" cap="flat" cmpd="sng">
                              <a:solidFill>
                                <a:schemeClr val="accent1"/>
                              </a:solidFill>
                              <a:prstDash val="solid"/>
                              <a:miter lim="800000"/>
                              <a:headEnd type="none" w="sm" len="sm"/>
                              <a:tailEnd type="none" w="sm" len="sm"/>
                            </a:ln>
                          </wps:spPr>
                          <wps:txbx>
                            <w:txbxContent>
                              <w:p w:rsidR="00CA2D5F" w:rsidRDefault="00CA2D5F">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7" y="2669"/>
                              <a:ext cx="2652731" cy="505995"/>
                            </a:xfrm>
                            <a:prstGeom prst="rect">
                              <a:avLst/>
                            </a:prstGeom>
                            <a:noFill/>
                            <a:ln>
                              <a:noFill/>
                            </a:ln>
                          </wps:spPr>
                          <wps:txbx>
                            <w:txbxContent>
                              <w:p w:rsidR="00CA2D5F" w:rsidRDefault="008732F5">
                                <w:pPr>
                                  <w:spacing w:after="0" w:line="215" w:lineRule="auto"/>
                                  <w:jc w:val="center"/>
                                  <w:textDirection w:val="btLr"/>
                                </w:pPr>
                                <w:r>
                                  <w:rPr>
                                    <w:color w:val="000000"/>
                                    <w:sz w:val="28"/>
                                  </w:rPr>
                                  <w:t>Most Highly Evaluated Measures</w:t>
                                </w:r>
                              </w:p>
                            </w:txbxContent>
                          </wps:txbx>
                          <wps:bodyPr spcFirstLastPara="1" wrap="square" lIns="99550" tIns="56875" rIns="99550" bIns="56875" anchor="ctr" anchorCtr="0">
                            <a:noAutofit/>
                          </wps:bodyPr>
                        </wps:wsp>
                        <wps:wsp>
                          <wps:cNvPr id="14" name="Rectangle 14"/>
                          <wps:cNvSpPr/>
                          <wps:spPr>
                            <a:xfrm>
                              <a:off x="27" y="508665"/>
                              <a:ext cx="2652731" cy="1460339"/>
                            </a:xfrm>
                            <a:prstGeom prst="rect">
                              <a:avLst/>
                            </a:prstGeom>
                            <a:solidFill>
                              <a:srgbClr val="CFD7E7">
                                <a:alpha val="89803"/>
                              </a:srgbClr>
                            </a:solidFill>
                            <a:ln w="12700" cap="flat" cmpd="sng">
                              <a:solidFill>
                                <a:srgbClr val="CFD7E7">
                                  <a:alpha val="89803"/>
                                </a:srgbClr>
                              </a:solidFill>
                              <a:prstDash val="solid"/>
                              <a:miter lim="800000"/>
                              <a:headEnd type="none" w="sm" len="sm"/>
                              <a:tailEnd type="none" w="sm" len="sm"/>
                            </a:ln>
                          </wps:spPr>
                          <wps:txbx>
                            <w:txbxContent>
                              <w:p w:rsidR="00CA2D5F" w:rsidRDefault="00CA2D5F">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7" y="508665"/>
                              <a:ext cx="2652731" cy="1460339"/>
                            </a:xfrm>
                            <a:prstGeom prst="rect">
                              <a:avLst/>
                            </a:prstGeom>
                            <a:noFill/>
                            <a:ln>
                              <a:noFill/>
                            </a:ln>
                          </wps:spPr>
                          <wps:txbx>
                            <w:txbxContent>
                              <w:p w:rsidR="00CA2D5F" w:rsidRDefault="008732F5">
                                <w:pPr>
                                  <w:spacing w:after="0" w:line="215" w:lineRule="auto"/>
                                  <w:ind w:left="180" w:firstLine="140"/>
                                  <w:textDirection w:val="btLr"/>
                                </w:pPr>
                                <w:r>
                                  <w:rPr>
                                    <w:color w:val="000000"/>
                                    <w:sz w:val="28"/>
                                  </w:rPr>
                                  <w:t>Closing educational institutions</w:t>
                                </w:r>
                              </w:p>
                              <w:p w:rsidR="00CA2D5F" w:rsidRDefault="008732F5">
                                <w:pPr>
                                  <w:spacing w:before="42" w:after="0" w:line="215" w:lineRule="auto"/>
                                  <w:ind w:left="180" w:firstLine="140"/>
                                  <w:textDirection w:val="btLr"/>
                                </w:pPr>
                                <w:r>
                                  <w:rPr>
                                    <w:color w:val="000000"/>
                                    <w:sz w:val="28"/>
                                  </w:rPr>
                                  <w:t>Asking citizens to pray in their homes</w:t>
                                </w:r>
                              </w:p>
                              <w:p w:rsidR="00CA2D5F" w:rsidRDefault="008732F5">
                                <w:pPr>
                                  <w:spacing w:before="42" w:after="0" w:line="215" w:lineRule="auto"/>
                                  <w:ind w:left="180" w:firstLine="140"/>
                                  <w:textDirection w:val="btLr"/>
                                </w:pPr>
                                <w:r>
                                  <w:rPr>
                                    <w:color w:val="000000"/>
                                    <w:sz w:val="28"/>
                                  </w:rPr>
                                  <w:t>The speed of the government's response to the crisis</w:t>
                                </w:r>
                              </w:p>
                            </w:txbxContent>
                          </wps:txbx>
                          <wps:bodyPr spcFirstLastPara="1" wrap="square" lIns="74675" tIns="74675" rIns="99550" bIns="112000" anchor="t" anchorCtr="0">
                            <a:noAutofit/>
                          </wps:bodyPr>
                        </wps:wsp>
                        <wps:wsp>
                          <wps:cNvPr id="16" name="Rectangle 16"/>
                          <wps:cNvSpPr/>
                          <wps:spPr>
                            <a:xfrm>
                              <a:off x="3024141" y="2669"/>
                              <a:ext cx="2652731" cy="505995"/>
                            </a:xfrm>
                            <a:prstGeom prst="rect">
                              <a:avLst/>
                            </a:prstGeom>
                            <a:solidFill>
                              <a:schemeClr val="accent1"/>
                            </a:solidFill>
                            <a:ln w="12700" cap="flat" cmpd="sng">
                              <a:solidFill>
                                <a:schemeClr val="accent1"/>
                              </a:solidFill>
                              <a:prstDash val="solid"/>
                              <a:miter lim="800000"/>
                              <a:headEnd type="none" w="sm" len="sm"/>
                              <a:tailEnd type="none" w="sm" len="sm"/>
                            </a:ln>
                          </wps:spPr>
                          <wps:txbx>
                            <w:txbxContent>
                              <w:p w:rsidR="00CA2D5F" w:rsidRDefault="00CA2D5F">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3024141" y="2669"/>
                              <a:ext cx="2652731" cy="505995"/>
                            </a:xfrm>
                            <a:prstGeom prst="rect">
                              <a:avLst/>
                            </a:prstGeom>
                            <a:noFill/>
                            <a:ln>
                              <a:noFill/>
                            </a:ln>
                          </wps:spPr>
                          <wps:txbx>
                            <w:txbxContent>
                              <w:p w:rsidR="00CA2D5F" w:rsidRDefault="008732F5">
                                <w:pPr>
                                  <w:spacing w:after="0" w:line="215" w:lineRule="auto"/>
                                  <w:jc w:val="center"/>
                                  <w:textDirection w:val="btLr"/>
                                </w:pPr>
                                <w:r>
                                  <w:rPr>
                                    <w:color w:val="000000"/>
                                    <w:sz w:val="28"/>
                                  </w:rPr>
                                  <w:t>Measures Needing Most Development</w:t>
                                </w:r>
                              </w:p>
                            </w:txbxContent>
                          </wps:txbx>
                          <wps:bodyPr spcFirstLastPara="1" wrap="square" lIns="99550" tIns="56875" rIns="99550" bIns="56875" anchor="ctr" anchorCtr="0">
                            <a:noAutofit/>
                          </wps:bodyPr>
                        </wps:wsp>
                        <wps:wsp>
                          <wps:cNvPr id="18" name="Rectangle 18"/>
                          <wps:cNvSpPr/>
                          <wps:spPr>
                            <a:xfrm>
                              <a:off x="3024141" y="508665"/>
                              <a:ext cx="2652731" cy="1460339"/>
                            </a:xfrm>
                            <a:prstGeom prst="rect">
                              <a:avLst/>
                            </a:prstGeom>
                            <a:solidFill>
                              <a:srgbClr val="CFD7E7">
                                <a:alpha val="89803"/>
                              </a:srgbClr>
                            </a:solidFill>
                            <a:ln w="12700" cap="flat" cmpd="sng">
                              <a:solidFill>
                                <a:srgbClr val="CFD7E7">
                                  <a:alpha val="89803"/>
                                </a:srgbClr>
                              </a:solidFill>
                              <a:prstDash val="solid"/>
                              <a:miter lim="800000"/>
                              <a:headEnd type="none" w="sm" len="sm"/>
                              <a:tailEnd type="none" w="sm" len="sm"/>
                            </a:ln>
                          </wps:spPr>
                          <wps:txbx>
                            <w:txbxContent>
                              <w:p w:rsidR="00CA2D5F" w:rsidRDefault="00CA2D5F">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024141" y="508665"/>
                              <a:ext cx="2652731" cy="1460339"/>
                            </a:xfrm>
                            <a:prstGeom prst="rect">
                              <a:avLst/>
                            </a:prstGeom>
                            <a:noFill/>
                            <a:ln>
                              <a:noFill/>
                            </a:ln>
                          </wps:spPr>
                          <wps:txbx>
                            <w:txbxContent>
                              <w:p w:rsidR="00CA2D5F" w:rsidRDefault="008732F5">
                                <w:pPr>
                                  <w:spacing w:after="0" w:line="215" w:lineRule="auto"/>
                                  <w:ind w:left="180" w:firstLine="140"/>
                                  <w:textDirection w:val="btLr"/>
                                </w:pPr>
                                <w:r>
                                  <w:rPr>
                                    <w:color w:val="000000"/>
                                    <w:sz w:val="28"/>
                                  </w:rPr>
                                  <w:t>Dealing with issues of workers in Israel and settlements</w:t>
                                </w:r>
                              </w:p>
                              <w:p w:rsidR="00CA2D5F" w:rsidRDefault="008732F5">
                                <w:pPr>
                                  <w:spacing w:before="42" w:after="0" w:line="215" w:lineRule="auto"/>
                                  <w:ind w:left="180" w:firstLine="140"/>
                                  <w:textDirection w:val="btLr"/>
                                </w:pPr>
                                <w:r>
                                  <w:rPr>
                                    <w:color w:val="000000"/>
                                    <w:sz w:val="28"/>
                                  </w:rPr>
                                  <w:t>Compensation for the unemployed</w:t>
                                </w:r>
                              </w:p>
                              <w:p w:rsidR="00CA2D5F" w:rsidRDefault="008732F5">
                                <w:pPr>
                                  <w:spacing w:before="42" w:after="0" w:line="215" w:lineRule="auto"/>
                                  <w:ind w:left="180" w:firstLine="140"/>
                                  <w:textDirection w:val="btLr"/>
                                </w:pPr>
                                <w:r>
                                  <w:rPr>
                                    <w:color w:val="000000"/>
                                    <w:sz w:val="28"/>
                                  </w:rPr>
                                  <w:t>Availability of examination centers</w:t>
                                </w:r>
                              </w:p>
                            </w:txbxContent>
                          </wps:txbx>
                          <wps:bodyPr spcFirstLastPara="1" wrap="square" lIns="74675" tIns="74675" rIns="99550" bIns="11200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5676900" cy="1971675"/>
                <wp:effectExtent b="0" l="0" r="0" t="0"/>
                <wp:docPr id="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676900" cy="1971675"/>
                        </a:xfrm>
                        <a:prstGeom prst="rect"/>
                        <a:ln/>
                      </pic:spPr>
                    </pic:pic>
                  </a:graphicData>
                </a:graphic>
              </wp:inline>
            </w:drawing>
          </mc:Fallback>
        </mc:AlternateContent>
      </w:r>
    </w:p>
    <w:p w:rsidR="00CA2D5F" w:rsidRDefault="008732F5">
      <w:pPr>
        <w:shd w:val="clear" w:color="auto" w:fill="DBEEF3"/>
        <w:spacing w:line="240" w:lineRule="auto"/>
        <w:jc w:val="both"/>
        <w:rPr>
          <w:b/>
        </w:rPr>
      </w:pPr>
      <w:r>
        <w:rPr>
          <w:b/>
        </w:rPr>
        <w:lastRenderedPageBreak/>
        <w:t>(3) Evaluation of relevant parties</w:t>
      </w:r>
    </w:p>
    <w:p w:rsidR="00CA2D5F" w:rsidRDefault="008732F5">
      <w:pPr>
        <w:spacing w:line="240" w:lineRule="auto"/>
        <w:jc w:val="both"/>
      </w:pPr>
      <w:r>
        <w:t>In the survey, the role of relevant actors was evaluated, and as it was previously mentioned, the role of the government led by Dr. Shtayyeh is the highest among all parties evaluated. As for the rest of the parties, the evaluation was as follows: The Ministry of Health ranked second, followed by the Palestinian media as a whole, then Palestinian TV in specific. After that came the performance of NGOs, and then authorities in the Gaza Strip. The evaluation was the least positive for the private sector.</w:t>
      </w:r>
    </w:p>
    <w:p w:rsidR="00CA2D5F" w:rsidRDefault="008732F5">
      <w:pPr>
        <w:spacing w:line="240" w:lineRule="auto"/>
        <w:jc w:val="both"/>
      </w:pPr>
      <w:r>
        <w:rPr>
          <w:noProof/>
        </w:rPr>
        <w:drawing>
          <wp:inline distT="0" distB="0" distL="0" distR="0">
            <wp:extent cx="5730875" cy="32004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30875" cy="3200400"/>
                    </a:xfrm>
                    <a:prstGeom prst="rect">
                      <a:avLst/>
                    </a:prstGeom>
                    <a:ln/>
                  </pic:spPr>
                </pic:pic>
              </a:graphicData>
            </a:graphic>
          </wp:inline>
        </w:drawing>
      </w:r>
    </w:p>
    <w:p w:rsidR="00CA2D5F" w:rsidRDefault="00CA2D5F">
      <w:pPr>
        <w:spacing w:line="240" w:lineRule="auto"/>
        <w:jc w:val="both"/>
      </w:pPr>
    </w:p>
    <w:p w:rsidR="00CA2D5F" w:rsidRDefault="008732F5">
      <w:pPr>
        <w:shd w:val="clear" w:color="auto" w:fill="DBEEF3"/>
        <w:spacing w:line="240" w:lineRule="auto"/>
        <w:jc w:val="both"/>
        <w:rPr>
          <w:b/>
        </w:rPr>
      </w:pPr>
      <w:r>
        <w:rPr>
          <w:b/>
        </w:rPr>
        <w:t>(4) Future expectations</w:t>
      </w:r>
    </w:p>
    <w:p w:rsidR="00CA2D5F" w:rsidRDefault="008732F5">
      <w:pPr>
        <w:spacing w:line="240" w:lineRule="auto"/>
        <w:jc w:val="both"/>
      </w:pPr>
      <w:r>
        <w:t>The majority view the future with a pessimistic view regarding economic and educational conditions. There are also fears of increasing household burdens on women, worsening social problems such as violence and crime, and increasing domestic violence against children and women. The survey showed that women are more afraid than men about increasing rates of societal violence (42% to 35%), violence against women (41%, 29%), and violence against children (40%, 31%).</w:t>
      </w:r>
    </w:p>
    <w:p w:rsidR="00CA2D5F" w:rsidRDefault="008732F5">
      <w:pPr>
        <w:spacing w:line="240" w:lineRule="auto"/>
        <w:jc w:val="both"/>
      </w:pPr>
      <w:r>
        <w:rPr>
          <w:noProof/>
        </w:rPr>
        <w:drawing>
          <wp:inline distT="0" distB="0" distL="0" distR="0">
            <wp:extent cx="5734050" cy="260032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34050" cy="2600325"/>
                    </a:xfrm>
                    <a:prstGeom prst="rect">
                      <a:avLst/>
                    </a:prstGeom>
                    <a:ln/>
                  </pic:spPr>
                </pic:pic>
              </a:graphicData>
            </a:graphic>
          </wp:inline>
        </w:drawing>
      </w:r>
    </w:p>
    <w:p w:rsidR="00CA2D5F" w:rsidRDefault="00CA2D5F">
      <w:pPr>
        <w:spacing w:line="240" w:lineRule="auto"/>
        <w:jc w:val="both"/>
      </w:pPr>
    </w:p>
    <w:p w:rsidR="00CA2D5F" w:rsidRDefault="008732F5">
      <w:pPr>
        <w:shd w:val="clear" w:color="auto" w:fill="DBEEF3"/>
        <w:spacing w:line="240" w:lineRule="auto"/>
        <w:jc w:val="both"/>
        <w:rPr>
          <w:b/>
        </w:rPr>
      </w:pPr>
      <w:r>
        <w:rPr>
          <w:b/>
        </w:rPr>
        <w:t>(5) Individual coping with the crisis</w:t>
      </w:r>
    </w:p>
    <w:p w:rsidR="00CA2D5F" w:rsidRDefault="008732F5">
      <w:pPr>
        <w:spacing w:line="240" w:lineRule="auto"/>
        <w:jc w:val="both"/>
      </w:pPr>
      <w:r>
        <w:t>In the poll, Palestinians (who were mostly workers and active) were asked about their adaptation and coping with the pandemic:</w:t>
      </w:r>
    </w:p>
    <w:p w:rsidR="00CA2D5F" w:rsidRDefault="008732F5">
      <w:pPr>
        <w:numPr>
          <w:ilvl w:val="0"/>
          <w:numId w:val="1"/>
        </w:numPr>
        <w:pBdr>
          <w:top w:val="nil"/>
          <w:left w:val="nil"/>
          <w:bottom w:val="nil"/>
          <w:right w:val="nil"/>
          <w:between w:val="nil"/>
        </w:pBdr>
        <w:spacing w:after="120" w:line="240" w:lineRule="auto"/>
        <w:ind w:left="360"/>
        <w:jc w:val="both"/>
      </w:pPr>
      <w:r>
        <w:rPr>
          <w:color w:val="000000"/>
        </w:rPr>
        <w:t xml:space="preserve">59% said that they are committed to the stay-at-home order by the government, while 34% said that they are committed to some extent, and 6% are not committed. Women were more committed to staying at home (70%) than men (51.3%). </w:t>
      </w:r>
    </w:p>
    <w:p w:rsidR="00CA2D5F" w:rsidRDefault="008732F5">
      <w:pPr>
        <w:numPr>
          <w:ilvl w:val="0"/>
          <w:numId w:val="1"/>
        </w:numPr>
        <w:pBdr>
          <w:top w:val="nil"/>
          <w:left w:val="nil"/>
          <w:bottom w:val="nil"/>
          <w:right w:val="nil"/>
          <w:between w:val="nil"/>
        </w:pBdr>
        <w:spacing w:after="120" w:line="240" w:lineRule="auto"/>
        <w:ind w:left="360"/>
        <w:jc w:val="both"/>
      </w:pPr>
      <w:r>
        <w:rPr>
          <w:color w:val="000000"/>
        </w:rPr>
        <w:t xml:space="preserve">Upon the onset of the crisis, half of the respondents stated that they have witnessed a decline in family income, and 21% reported that that applies to them to some extent. Also, indications of the looming economic crisis indicate that 10% completely lost their jobs early in the crisis, and 9% lost their jobs partially. Moreover, 30% said that they may lose their jobs in the coming time period. The percentage of men who stated that they had lost their jobs completely was less (8.1%) than that of women (11.5%). </w:t>
      </w:r>
    </w:p>
    <w:p w:rsidR="00CA2D5F" w:rsidRDefault="008732F5">
      <w:pPr>
        <w:numPr>
          <w:ilvl w:val="0"/>
          <w:numId w:val="1"/>
        </w:numPr>
        <w:pBdr>
          <w:top w:val="nil"/>
          <w:left w:val="nil"/>
          <w:bottom w:val="nil"/>
          <w:right w:val="nil"/>
          <w:between w:val="nil"/>
        </w:pBdr>
        <w:spacing w:after="120" w:line="240" w:lineRule="auto"/>
        <w:ind w:left="360"/>
        <w:jc w:val="both"/>
      </w:pPr>
      <w:r>
        <w:rPr>
          <w:color w:val="000000"/>
        </w:rPr>
        <w:t>47% said that household duties have increased since they have been at home, and 29% said that they have somewhat increased. At the same time, 35% stated that the tasks of caring for children had increased, and 24% said that they had somewhat increased. The percentage varied between women and men, with 58% of women declaring that household duties had increased, while 40% of men said so.</w:t>
      </w:r>
    </w:p>
    <w:p w:rsidR="00CA2D5F" w:rsidRDefault="008732F5">
      <w:pPr>
        <w:numPr>
          <w:ilvl w:val="0"/>
          <w:numId w:val="1"/>
        </w:numPr>
        <w:pBdr>
          <w:top w:val="nil"/>
          <w:left w:val="nil"/>
          <w:bottom w:val="nil"/>
          <w:right w:val="nil"/>
          <w:between w:val="nil"/>
        </w:pBdr>
        <w:spacing w:after="120" w:line="240" w:lineRule="auto"/>
        <w:ind w:left="360"/>
        <w:jc w:val="both"/>
      </w:pPr>
      <w:r>
        <w:rPr>
          <w:color w:val="000000"/>
        </w:rPr>
        <w:t>In addition, 40% stated that they perform their job-related work from home, and 17% reported that this statement somewhat applies to them. 43% reported that they decided to stop going to work to protect themselves, and 18% did so partially. 35.8% of men stated that they do their office work from home, while 46.4% of women said so.</w:t>
      </w:r>
    </w:p>
    <w:tbl>
      <w:tblPr>
        <w:tblStyle w:val="a2"/>
        <w:tblW w:w="90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57"/>
        <w:gridCol w:w="3328"/>
        <w:gridCol w:w="1332"/>
        <w:gridCol w:w="1333"/>
        <w:gridCol w:w="1333"/>
        <w:gridCol w:w="1333"/>
      </w:tblGrid>
      <w:tr w:rsidR="00CA2D5F">
        <w:tc>
          <w:tcPr>
            <w:tcW w:w="9016" w:type="dxa"/>
            <w:gridSpan w:val="6"/>
            <w:shd w:val="clear" w:color="auto" w:fill="7F7F7F"/>
          </w:tcPr>
          <w:p w:rsidR="00CA2D5F" w:rsidRDefault="008732F5">
            <w:pPr>
              <w:jc w:val="both"/>
              <w:rPr>
                <w:b/>
                <w:color w:val="FFFFFF"/>
              </w:rPr>
            </w:pPr>
            <w:r>
              <w:rPr>
                <w:b/>
                <w:color w:val="FFFFFF"/>
              </w:rPr>
              <w:t>At this time, do the following statements apply to you personally?</w:t>
            </w:r>
          </w:p>
        </w:tc>
      </w:tr>
      <w:tr w:rsidR="00CA2D5F">
        <w:tc>
          <w:tcPr>
            <w:tcW w:w="3685" w:type="dxa"/>
            <w:gridSpan w:val="2"/>
            <w:shd w:val="clear" w:color="auto" w:fill="7F7F7F"/>
          </w:tcPr>
          <w:p w:rsidR="00CA2D5F" w:rsidRDefault="00CA2D5F">
            <w:pPr>
              <w:jc w:val="both"/>
              <w:rPr>
                <w:b/>
              </w:rPr>
            </w:pPr>
          </w:p>
        </w:tc>
        <w:tc>
          <w:tcPr>
            <w:tcW w:w="1332" w:type="dxa"/>
            <w:shd w:val="clear" w:color="auto" w:fill="F2F2F2"/>
            <w:vAlign w:val="center"/>
          </w:tcPr>
          <w:p w:rsidR="00CA2D5F" w:rsidRDefault="008732F5">
            <w:pPr>
              <w:jc w:val="center"/>
              <w:rPr>
                <w:b/>
              </w:rPr>
            </w:pPr>
            <w:r>
              <w:rPr>
                <w:b/>
              </w:rPr>
              <w:t>Apply</w:t>
            </w:r>
          </w:p>
        </w:tc>
        <w:tc>
          <w:tcPr>
            <w:tcW w:w="1333" w:type="dxa"/>
            <w:shd w:val="clear" w:color="auto" w:fill="F2F2F2"/>
            <w:vAlign w:val="center"/>
          </w:tcPr>
          <w:p w:rsidR="00CA2D5F" w:rsidRDefault="008732F5">
            <w:pPr>
              <w:jc w:val="center"/>
              <w:rPr>
                <w:b/>
              </w:rPr>
            </w:pPr>
            <w:r>
              <w:rPr>
                <w:b/>
              </w:rPr>
              <w:t>Somewhat apply</w:t>
            </w:r>
          </w:p>
        </w:tc>
        <w:tc>
          <w:tcPr>
            <w:tcW w:w="1333" w:type="dxa"/>
            <w:shd w:val="clear" w:color="auto" w:fill="F2F2F2"/>
            <w:vAlign w:val="center"/>
          </w:tcPr>
          <w:p w:rsidR="00CA2D5F" w:rsidRDefault="008732F5">
            <w:pPr>
              <w:jc w:val="center"/>
              <w:rPr>
                <w:b/>
              </w:rPr>
            </w:pPr>
            <w:r>
              <w:rPr>
                <w:b/>
              </w:rPr>
              <w:t>Do not apply</w:t>
            </w:r>
          </w:p>
        </w:tc>
        <w:tc>
          <w:tcPr>
            <w:tcW w:w="1333" w:type="dxa"/>
            <w:shd w:val="clear" w:color="auto" w:fill="F2F2F2"/>
            <w:vAlign w:val="center"/>
          </w:tcPr>
          <w:p w:rsidR="00CA2D5F" w:rsidRDefault="008732F5">
            <w:pPr>
              <w:jc w:val="center"/>
              <w:rPr>
                <w:b/>
              </w:rPr>
            </w:pPr>
            <w:r>
              <w:rPr>
                <w:b/>
              </w:rPr>
              <w:t>Don’t know / no answer</w:t>
            </w:r>
          </w:p>
        </w:tc>
      </w:tr>
      <w:tr w:rsidR="00CA2D5F">
        <w:tc>
          <w:tcPr>
            <w:tcW w:w="357" w:type="dxa"/>
          </w:tcPr>
          <w:p w:rsidR="00CA2D5F" w:rsidRDefault="008732F5">
            <w:pPr>
              <w:jc w:val="both"/>
            </w:pPr>
            <w:r>
              <w:t>1</w:t>
            </w:r>
          </w:p>
        </w:tc>
        <w:tc>
          <w:tcPr>
            <w:tcW w:w="3328" w:type="dxa"/>
          </w:tcPr>
          <w:p w:rsidR="00CA2D5F" w:rsidRDefault="008732F5">
            <w:pPr>
              <w:jc w:val="both"/>
            </w:pPr>
            <w:r>
              <w:t>I am committed to the government stay-at-home order</w:t>
            </w:r>
          </w:p>
        </w:tc>
        <w:tc>
          <w:tcPr>
            <w:tcW w:w="1332" w:type="dxa"/>
          </w:tcPr>
          <w:p w:rsidR="00CA2D5F" w:rsidRDefault="008732F5">
            <w:pPr>
              <w:jc w:val="both"/>
            </w:pPr>
            <w:r>
              <w:t>59%</w:t>
            </w:r>
          </w:p>
        </w:tc>
        <w:tc>
          <w:tcPr>
            <w:tcW w:w="1333" w:type="dxa"/>
          </w:tcPr>
          <w:p w:rsidR="00CA2D5F" w:rsidRDefault="008732F5">
            <w:pPr>
              <w:jc w:val="both"/>
            </w:pPr>
            <w:r>
              <w:t>34%</w:t>
            </w:r>
          </w:p>
        </w:tc>
        <w:tc>
          <w:tcPr>
            <w:tcW w:w="1333" w:type="dxa"/>
          </w:tcPr>
          <w:p w:rsidR="00CA2D5F" w:rsidRDefault="008732F5">
            <w:pPr>
              <w:jc w:val="both"/>
            </w:pPr>
            <w:r>
              <w:t>6%</w:t>
            </w:r>
          </w:p>
        </w:tc>
        <w:tc>
          <w:tcPr>
            <w:tcW w:w="1333" w:type="dxa"/>
          </w:tcPr>
          <w:p w:rsidR="00CA2D5F" w:rsidRDefault="008732F5">
            <w:pPr>
              <w:jc w:val="both"/>
            </w:pPr>
            <w:r>
              <w:t>1%</w:t>
            </w:r>
          </w:p>
        </w:tc>
      </w:tr>
      <w:tr w:rsidR="00CA2D5F">
        <w:tc>
          <w:tcPr>
            <w:tcW w:w="357" w:type="dxa"/>
          </w:tcPr>
          <w:p w:rsidR="00CA2D5F" w:rsidRDefault="008732F5">
            <w:pPr>
              <w:jc w:val="both"/>
            </w:pPr>
            <w:r>
              <w:t>2</w:t>
            </w:r>
          </w:p>
        </w:tc>
        <w:tc>
          <w:tcPr>
            <w:tcW w:w="3328" w:type="dxa"/>
          </w:tcPr>
          <w:p w:rsidR="00CA2D5F" w:rsidRDefault="008732F5">
            <w:pPr>
              <w:jc w:val="both"/>
            </w:pPr>
            <w:r>
              <w:t>I quarantined myself at home</w:t>
            </w:r>
          </w:p>
        </w:tc>
        <w:tc>
          <w:tcPr>
            <w:tcW w:w="1332" w:type="dxa"/>
          </w:tcPr>
          <w:p w:rsidR="00CA2D5F" w:rsidRDefault="008732F5">
            <w:pPr>
              <w:jc w:val="both"/>
            </w:pPr>
            <w:r>
              <w:t>54%</w:t>
            </w:r>
          </w:p>
        </w:tc>
        <w:tc>
          <w:tcPr>
            <w:tcW w:w="1333" w:type="dxa"/>
          </w:tcPr>
          <w:p w:rsidR="00CA2D5F" w:rsidRDefault="008732F5">
            <w:pPr>
              <w:jc w:val="both"/>
            </w:pPr>
            <w:r>
              <w:t>34%</w:t>
            </w:r>
          </w:p>
        </w:tc>
        <w:tc>
          <w:tcPr>
            <w:tcW w:w="1333" w:type="dxa"/>
          </w:tcPr>
          <w:p w:rsidR="00CA2D5F" w:rsidRDefault="008732F5">
            <w:pPr>
              <w:jc w:val="both"/>
            </w:pPr>
            <w:r>
              <w:t>11%</w:t>
            </w:r>
          </w:p>
        </w:tc>
        <w:tc>
          <w:tcPr>
            <w:tcW w:w="1333" w:type="dxa"/>
          </w:tcPr>
          <w:p w:rsidR="00CA2D5F" w:rsidRDefault="008732F5">
            <w:pPr>
              <w:jc w:val="both"/>
            </w:pPr>
            <w:r>
              <w:t>1%</w:t>
            </w:r>
          </w:p>
        </w:tc>
      </w:tr>
      <w:tr w:rsidR="00CA2D5F">
        <w:tc>
          <w:tcPr>
            <w:tcW w:w="357" w:type="dxa"/>
          </w:tcPr>
          <w:p w:rsidR="00CA2D5F" w:rsidRDefault="008732F5">
            <w:pPr>
              <w:jc w:val="both"/>
            </w:pPr>
            <w:r>
              <w:t>3</w:t>
            </w:r>
          </w:p>
        </w:tc>
        <w:tc>
          <w:tcPr>
            <w:tcW w:w="3328" w:type="dxa"/>
          </w:tcPr>
          <w:p w:rsidR="00CA2D5F" w:rsidRDefault="008732F5">
            <w:pPr>
              <w:jc w:val="both"/>
            </w:pPr>
            <w:r>
              <w:t>Family income has decreased due to the crisis</w:t>
            </w:r>
          </w:p>
        </w:tc>
        <w:tc>
          <w:tcPr>
            <w:tcW w:w="1332" w:type="dxa"/>
          </w:tcPr>
          <w:p w:rsidR="00CA2D5F" w:rsidRDefault="008732F5">
            <w:pPr>
              <w:jc w:val="both"/>
            </w:pPr>
            <w:r>
              <w:t>50%</w:t>
            </w:r>
          </w:p>
        </w:tc>
        <w:tc>
          <w:tcPr>
            <w:tcW w:w="1333" w:type="dxa"/>
          </w:tcPr>
          <w:p w:rsidR="00CA2D5F" w:rsidRDefault="008732F5">
            <w:pPr>
              <w:jc w:val="both"/>
            </w:pPr>
            <w:r>
              <w:t>21%</w:t>
            </w:r>
          </w:p>
        </w:tc>
        <w:tc>
          <w:tcPr>
            <w:tcW w:w="1333" w:type="dxa"/>
          </w:tcPr>
          <w:p w:rsidR="00CA2D5F" w:rsidRDefault="008732F5">
            <w:pPr>
              <w:jc w:val="both"/>
            </w:pPr>
            <w:r>
              <w:t>27%</w:t>
            </w:r>
          </w:p>
        </w:tc>
        <w:tc>
          <w:tcPr>
            <w:tcW w:w="1333" w:type="dxa"/>
          </w:tcPr>
          <w:p w:rsidR="00CA2D5F" w:rsidRDefault="008732F5">
            <w:pPr>
              <w:jc w:val="both"/>
            </w:pPr>
            <w:r>
              <w:t>2%</w:t>
            </w:r>
          </w:p>
        </w:tc>
      </w:tr>
      <w:tr w:rsidR="00CA2D5F">
        <w:tc>
          <w:tcPr>
            <w:tcW w:w="357" w:type="dxa"/>
          </w:tcPr>
          <w:p w:rsidR="00CA2D5F" w:rsidRDefault="008732F5">
            <w:pPr>
              <w:jc w:val="both"/>
            </w:pPr>
            <w:r>
              <w:t>4</w:t>
            </w:r>
          </w:p>
        </w:tc>
        <w:tc>
          <w:tcPr>
            <w:tcW w:w="3328" w:type="dxa"/>
          </w:tcPr>
          <w:p w:rsidR="00CA2D5F" w:rsidRDefault="008732F5">
            <w:pPr>
              <w:jc w:val="both"/>
            </w:pPr>
            <w:r>
              <w:t>My household duties have increased while I’ve been at home</w:t>
            </w:r>
          </w:p>
        </w:tc>
        <w:tc>
          <w:tcPr>
            <w:tcW w:w="1332" w:type="dxa"/>
          </w:tcPr>
          <w:p w:rsidR="00CA2D5F" w:rsidRDefault="008732F5">
            <w:pPr>
              <w:jc w:val="both"/>
            </w:pPr>
            <w:r>
              <w:t>47%</w:t>
            </w:r>
          </w:p>
        </w:tc>
        <w:tc>
          <w:tcPr>
            <w:tcW w:w="1333" w:type="dxa"/>
          </w:tcPr>
          <w:p w:rsidR="00CA2D5F" w:rsidRDefault="008732F5">
            <w:pPr>
              <w:jc w:val="both"/>
            </w:pPr>
            <w:r>
              <w:t>29%</w:t>
            </w:r>
          </w:p>
        </w:tc>
        <w:tc>
          <w:tcPr>
            <w:tcW w:w="1333" w:type="dxa"/>
          </w:tcPr>
          <w:p w:rsidR="00CA2D5F" w:rsidRDefault="008732F5">
            <w:pPr>
              <w:jc w:val="both"/>
            </w:pPr>
            <w:r>
              <w:t>23%</w:t>
            </w:r>
          </w:p>
        </w:tc>
        <w:tc>
          <w:tcPr>
            <w:tcW w:w="1333" w:type="dxa"/>
          </w:tcPr>
          <w:p w:rsidR="00CA2D5F" w:rsidRDefault="008732F5">
            <w:pPr>
              <w:jc w:val="both"/>
            </w:pPr>
            <w:r>
              <w:t>1%</w:t>
            </w:r>
          </w:p>
        </w:tc>
      </w:tr>
      <w:tr w:rsidR="00CA2D5F">
        <w:tc>
          <w:tcPr>
            <w:tcW w:w="357" w:type="dxa"/>
          </w:tcPr>
          <w:p w:rsidR="00CA2D5F" w:rsidRDefault="008732F5">
            <w:pPr>
              <w:jc w:val="both"/>
            </w:pPr>
            <w:r>
              <w:t>5</w:t>
            </w:r>
          </w:p>
        </w:tc>
        <w:tc>
          <w:tcPr>
            <w:tcW w:w="3328" w:type="dxa"/>
          </w:tcPr>
          <w:p w:rsidR="00CA2D5F" w:rsidRDefault="008732F5">
            <w:pPr>
              <w:jc w:val="both"/>
            </w:pPr>
            <w:r>
              <w:t>I have not gone to work by my will to protect myself</w:t>
            </w:r>
          </w:p>
        </w:tc>
        <w:tc>
          <w:tcPr>
            <w:tcW w:w="1332" w:type="dxa"/>
          </w:tcPr>
          <w:p w:rsidR="00CA2D5F" w:rsidRDefault="008732F5">
            <w:pPr>
              <w:jc w:val="both"/>
            </w:pPr>
            <w:r>
              <w:t>43%</w:t>
            </w:r>
          </w:p>
        </w:tc>
        <w:tc>
          <w:tcPr>
            <w:tcW w:w="1333" w:type="dxa"/>
          </w:tcPr>
          <w:p w:rsidR="00CA2D5F" w:rsidRDefault="008732F5">
            <w:pPr>
              <w:jc w:val="both"/>
            </w:pPr>
            <w:r>
              <w:t>18%</w:t>
            </w:r>
          </w:p>
        </w:tc>
        <w:tc>
          <w:tcPr>
            <w:tcW w:w="1333" w:type="dxa"/>
          </w:tcPr>
          <w:p w:rsidR="00CA2D5F" w:rsidRDefault="008732F5">
            <w:pPr>
              <w:jc w:val="both"/>
            </w:pPr>
            <w:r>
              <w:t>36%</w:t>
            </w:r>
          </w:p>
        </w:tc>
        <w:tc>
          <w:tcPr>
            <w:tcW w:w="1333" w:type="dxa"/>
          </w:tcPr>
          <w:p w:rsidR="00CA2D5F" w:rsidRDefault="008732F5">
            <w:pPr>
              <w:jc w:val="both"/>
            </w:pPr>
            <w:r>
              <w:t>3%</w:t>
            </w:r>
          </w:p>
        </w:tc>
      </w:tr>
      <w:tr w:rsidR="00CA2D5F">
        <w:tc>
          <w:tcPr>
            <w:tcW w:w="357" w:type="dxa"/>
          </w:tcPr>
          <w:p w:rsidR="00CA2D5F" w:rsidRDefault="008732F5">
            <w:pPr>
              <w:jc w:val="both"/>
            </w:pPr>
            <w:r>
              <w:t>6</w:t>
            </w:r>
          </w:p>
        </w:tc>
        <w:tc>
          <w:tcPr>
            <w:tcW w:w="3328" w:type="dxa"/>
          </w:tcPr>
          <w:p w:rsidR="00CA2D5F" w:rsidRDefault="008732F5">
            <w:pPr>
              <w:jc w:val="both"/>
            </w:pPr>
            <w:r>
              <w:t>I do my work from home instead of the workplace</w:t>
            </w:r>
          </w:p>
        </w:tc>
        <w:tc>
          <w:tcPr>
            <w:tcW w:w="1332" w:type="dxa"/>
          </w:tcPr>
          <w:p w:rsidR="00CA2D5F" w:rsidRDefault="008732F5">
            <w:pPr>
              <w:jc w:val="both"/>
            </w:pPr>
            <w:r>
              <w:t>40%</w:t>
            </w:r>
          </w:p>
        </w:tc>
        <w:tc>
          <w:tcPr>
            <w:tcW w:w="1333" w:type="dxa"/>
          </w:tcPr>
          <w:p w:rsidR="00CA2D5F" w:rsidRDefault="008732F5">
            <w:pPr>
              <w:jc w:val="both"/>
            </w:pPr>
            <w:r>
              <w:t>17%</w:t>
            </w:r>
          </w:p>
        </w:tc>
        <w:tc>
          <w:tcPr>
            <w:tcW w:w="1333" w:type="dxa"/>
          </w:tcPr>
          <w:p w:rsidR="00CA2D5F" w:rsidRDefault="008732F5">
            <w:pPr>
              <w:jc w:val="both"/>
            </w:pPr>
            <w:r>
              <w:t>40%</w:t>
            </w:r>
          </w:p>
        </w:tc>
        <w:tc>
          <w:tcPr>
            <w:tcW w:w="1333" w:type="dxa"/>
          </w:tcPr>
          <w:p w:rsidR="00CA2D5F" w:rsidRDefault="008732F5">
            <w:pPr>
              <w:jc w:val="both"/>
            </w:pPr>
            <w:r>
              <w:t>3%</w:t>
            </w:r>
          </w:p>
        </w:tc>
      </w:tr>
      <w:tr w:rsidR="00CA2D5F">
        <w:tc>
          <w:tcPr>
            <w:tcW w:w="357" w:type="dxa"/>
          </w:tcPr>
          <w:p w:rsidR="00CA2D5F" w:rsidRDefault="008732F5">
            <w:pPr>
              <w:jc w:val="both"/>
            </w:pPr>
            <w:r>
              <w:t>7</w:t>
            </w:r>
          </w:p>
        </w:tc>
        <w:tc>
          <w:tcPr>
            <w:tcW w:w="3328" w:type="dxa"/>
          </w:tcPr>
          <w:p w:rsidR="00CA2D5F" w:rsidRDefault="008732F5">
            <w:pPr>
              <w:jc w:val="both"/>
            </w:pPr>
            <w:r>
              <w:t>My tasks taking care of children have increased</w:t>
            </w:r>
          </w:p>
        </w:tc>
        <w:tc>
          <w:tcPr>
            <w:tcW w:w="1332" w:type="dxa"/>
          </w:tcPr>
          <w:p w:rsidR="00CA2D5F" w:rsidRDefault="008732F5">
            <w:pPr>
              <w:jc w:val="both"/>
            </w:pPr>
            <w:r>
              <w:t>35%</w:t>
            </w:r>
          </w:p>
        </w:tc>
        <w:tc>
          <w:tcPr>
            <w:tcW w:w="1333" w:type="dxa"/>
          </w:tcPr>
          <w:p w:rsidR="00CA2D5F" w:rsidRDefault="008732F5">
            <w:pPr>
              <w:jc w:val="both"/>
            </w:pPr>
            <w:r>
              <w:t>24%</w:t>
            </w:r>
          </w:p>
        </w:tc>
        <w:tc>
          <w:tcPr>
            <w:tcW w:w="1333" w:type="dxa"/>
          </w:tcPr>
          <w:p w:rsidR="00CA2D5F" w:rsidRDefault="008732F5">
            <w:pPr>
              <w:jc w:val="both"/>
            </w:pPr>
            <w:r>
              <w:t>36%</w:t>
            </w:r>
          </w:p>
        </w:tc>
        <w:tc>
          <w:tcPr>
            <w:tcW w:w="1333" w:type="dxa"/>
          </w:tcPr>
          <w:p w:rsidR="00CA2D5F" w:rsidRDefault="008732F5">
            <w:pPr>
              <w:jc w:val="both"/>
            </w:pPr>
            <w:r>
              <w:t>5%</w:t>
            </w:r>
          </w:p>
        </w:tc>
      </w:tr>
      <w:tr w:rsidR="00CA2D5F">
        <w:tc>
          <w:tcPr>
            <w:tcW w:w="357" w:type="dxa"/>
          </w:tcPr>
          <w:p w:rsidR="00CA2D5F" w:rsidRDefault="008732F5">
            <w:pPr>
              <w:jc w:val="both"/>
            </w:pPr>
            <w:r>
              <w:t>8</w:t>
            </w:r>
          </w:p>
        </w:tc>
        <w:tc>
          <w:tcPr>
            <w:tcW w:w="3328" w:type="dxa"/>
          </w:tcPr>
          <w:p w:rsidR="00CA2D5F" w:rsidRDefault="008732F5">
            <w:pPr>
              <w:jc w:val="both"/>
            </w:pPr>
            <w:r>
              <w:t>I may lose my job in the coming time period</w:t>
            </w:r>
          </w:p>
        </w:tc>
        <w:tc>
          <w:tcPr>
            <w:tcW w:w="1332" w:type="dxa"/>
          </w:tcPr>
          <w:p w:rsidR="00CA2D5F" w:rsidRDefault="008732F5">
            <w:pPr>
              <w:jc w:val="both"/>
            </w:pPr>
            <w:r>
              <w:t>14%</w:t>
            </w:r>
          </w:p>
        </w:tc>
        <w:tc>
          <w:tcPr>
            <w:tcW w:w="1333" w:type="dxa"/>
          </w:tcPr>
          <w:p w:rsidR="00CA2D5F" w:rsidRDefault="008732F5">
            <w:pPr>
              <w:jc w:val="both"/>
            </w:pPr>
            <w:r>
              <w:t>15%</w:t>
            </w:r>
          </w:p>
        </w:tc>
        <w:tc>
          <w:tcPr>
            <w:tcW w:w="1333" w:type="dxa"/>
          </w:tcPr>
          <w:p w:rsidR="00CA2D5F" w:rsidRDefault="008732F5">
            <w:pPr>
              <w:jc w:val="both"/>
            </w:pPr>
            <w:r>
              <w:t>63%</w:t>
            </w:r>
          </w:p>
        </w:tc>
        <w:tc>
          <w:tcPr>
            <w:tcW w:w="1333" w:type="dxa"/>
          </w:tcPr>
          <w:p w:rsidR="00CA2D5F" w:rsidRDefault="008732F5">
            <w:pPr>
              <w:jc w:val="both"/>
            </w:pPr>
            <w:r>
              <w:t>8%</w:t>
            </w:r>
          </w:p>
        </w:tc>
      </w:tr>
      <w:tr w:rsidR="00CA2D5F">
        <w:tc>
          <w:tcPr>
            <w:tcW w:w="357" w:type="dxa"/>
          </w:tcPr>
          <w:p w:rsidR="00CA2D5F" w:rsidRDefault="008732F5">
            <w:pPr>
              <w:jc w:val="both"/>
            </w:pPr>
            <w:r>
              <w:t>9</w:t>
            </w:r>
          </w:p>
        </w:tc>
        <w:tc>
          <w:tcPr>
            <w:tcW w:w="3328" w:type="dxa"/>
          </w:tcPr>
          <w:p w:rsidR="00CA2D5F" w:rsidRDefault="008732F5">
            <w:pPr>
              <w:jc w:val="both"/>
            </w:pPr>
            <w:r>
              <w:t>I lost my job due to the coronavirus crisis</w:t>
            </w:r>
          </w:p>
        </w:tc>
        <w:tc>
          <w:tcPr>
            <w:tcW w:w="1332" w:type="dxa"/>
          </w:tcPr>
          <w:p w:rsidR="00CA2D5F" w:rsidRDefault="008732F5">
            <w:pPr>
              <w:jc w:val="both"/>
            </w:pPr>
            <w:r>
              <w:t>9%</w:t>
            </w:r>
          </w:p>
        </w:tc>
        <w:tc>
          <w:tcPr>
            <w:tcW w:w="1333" w:type="dxa"/>
          </w:tcPr>
          <w:p w:rsidR="00CA2D5F" w:rsidRDefault="008732F5">
            <w:pPr>
              <w:jc w:val="both"/>
            </w:pPr>
            <w:r>
              <w:t>9%</w:t>
            </w:r>
          </w:p>
        </w:tc>
        <w:tc>
          <w:tcPr>
            <w:tcW w:w="1333" w:type="dxa"/>
          </w:tcPr>
          <w:p w:rsidR="00CA2D5F" w:rsidRDefault="008732F5">
            <w:pPr>
              <w:jc w:val="both"/>
            </w:pPr>
            <w:r>
              <w:t>78%</w:t>
            </w:r>
          </w:p>
        </w:tc>
        <w:tc>
          <w:tcPr>
            <w:tcW w:w="1333" w:type="dxa"/>
          </w:tcPr>
          <w:p w:rsidR="00CA2D5F" w:rsidRDefault="008732F5">
            <w:pPr>
              <w:jc w:val="both"/>
            </w:pPr>
            <w:r>
              <w:t>4%</w:t>
            </w:r>
          </w:p>
        </w:tc>
      </w:tr>
    </w:tbl>
    <w:p w:rsidR="00CA2D5F" w:rsidRDefault="00CA2D5F">
      <w:pPr>
        <w:spacing w:line="240" w:lineRule="auto"/>
        <w:jc w:val="both"/>
      </w:pPr>
      <w:bookmarkStart w:id="1" w:name="_gjdgxs" w:colFirst="0" w:colLast="0"/>
      <w:bookmarkEnd w:id="1"/>
    </w:p>
    <w:sectPr w:rsidR="00CA2D5F">
      <w:footerReference w:type="default" r:id="rId1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9D" w:rsidRDefault="007D4D9D">
      <w:pPr>
        <w:spacing w:after="0" w:line="240" w:lineRule="auto"/>
      </w:pPr>
      <w:r>
        <w:separator/>
      </w:r>
    </w:p>
  </w:endnote>
  <w:endnote w:type="continuationSeparator" w:id="0">
    <w:p w:rsidR="007D4D9D" w:rsidRDefault="007D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5F" w:rsidRDefault="008732F5">
    <w:pPr>
      <w:pBdr>
        <w:top w:val="single" w:sz="4" w:space="1" w:color="7F7F7F"/>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F60E3">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9D" w:rsidRDefault="007D4D9D">
      <w:pPr>
        <w:spacing w:after="0" w:line="240" w:lineRule="auto"/>
      </w:pPr>
      <w:r>
        <w:separator/>
      </w:r>
    </w:p>
  </w:footnote>
  <w:footnote w:type="continuationSeparator" w:id="0">
    <w:p w:rsidR="007D4D9D" w:rsidRDefault="007D4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AE5"/>
    <w:multiLevelType w:val="multilevel"/>
    <w:tmpl w:val="AE72C5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B138CD"/>
    <w:multiLevelType w:val="multilevel"/>
    <w:tmpl w:val="C0A40236"/>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2D5F"/>
    <w:rsid w:val="006A24EC"/>
    <w:rsid w:val="007D4D9D"/>
    <w:rsid w:val="008732F5"/>
    <w:rsid w:val="008F60E3"/>
    <w:rsid w:val="00CA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wrad.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amer@awra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der@awrad.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Nader </cp:lastModifiedBy>
  <cp:revision>2</cp:revision>
  <dcterms:created xsi:type="dcterms:W3CDTF">2020-03-31T13:54:00Z</dcterms:created>
  <dcterms:modified xsi:type="dcterms:W3CDTF">2020-03-31T13:54:00Z</dcterms:modified>
</cp:coreProperties>
</file>