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53" w:rsidRDefault="00AD7D53" w:rsidP="00A17A70">
      <w:pPr>
        <w:jc w:val="both"/>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9525</wp:posOffset>
            </wp:positionH>
            <wp:positionV relativeFrom="paragraph">
              <wp:posOffset>-209550</wp:posOffset>
            </wp:positionV>
            <wp:extent cx="1714500" cy="1504950"/>
            <wp:effectExtent l="19050" t="0" r="0" b="0"/>
            <wp:wrapThrough wrapText="bothSides">
              <wp:wrapPolygon edited="0">
                <wp:start x="-240" y="0"/>
                <wp:lineTo x="-240" y="21327"/>
                <wp:lineTo x="21600" y="21327"/>
                <wp:lineTo x="21600" y="0"/>
                <wp:lineTo x="-24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0" cy="1504950"/>
                    </a:xfrm>
                    <a:prstGeom prst="rect">
                      <a:avLst/>
                    </a:prstGeom>
                    <a:noFill/>
                    <a:ln w="9525">
                      <a:noFill/>
                      <a:miter lim="800000"/>
                      <a:headEnd/>
                      <a:tailEnd/>
                    </a:ln>
                  </pic:spPr>
                </pic:pic>
              </a:graphicData>
            </a:graphic>
          </wp:anchor>
        </w:drawing>
      </w:r>
    </w:p>
    <w:p w:rsidR="00AD7D53" w:rsidRDefault="00AD7D53" w:rsidP="00A17A70">
      <w:pPr>
        <w:jc w:val="both"/>
        <w:rPr>
          <w:b/>
          <w:bCs/>
          <w:sz w:val="28"/>
          <w:szCs w:val="28"/>
        </w:rPr>
      </w:pPr>
    </w:p>
    <w:p w:rsidR="00AD7D53" w:rsidRDefault="00AD7D53" w:rsidP="00A17A70">
      <w:pPr>
        <w:jc w:val="both"/>
        <w:rPr>
          <w:b/>
          <w:bCs/>
          <w:sz w:val="28"/>
          <w:szCs w:val="28"/>
        </w:rPr>
      </w:pPr>
    </w:p>
    <w:p w:rsidR="00AD7D53" w:rsidRDefault="00AD7D53" w:rsidP="00A17A70">
      <w:pPr>
        <w:jc w:val="both"/>
        <w:rPr>
          <w:b/>
          <w:bCs/>
          <w:sz w:val="28"/>
          <w:szCs w:val="28"/>
        </w:rPr>
      </w:pPr>
    </w:p>
    <w:p w:rsidR="007B0BCB" w:rsidRPr="006A7CBE" w:rsidRDefault="006E441B" w:rsidP="00A17A70">
      <w:pPr>
        <w:jc w:val="both"/>
        <w:rPr>
          <w:b/>
          <w:bCs/>
          <w:sz w:val="28"/>
          <w:szCs w:val="28"/>
        </w:rPr>
      </w:pPr>
      <w:r w:rsidRPr="006A7CBE">
        <w:rPr>
          <w:b/>
          <w:bCs/>
          <w:sz w:val="28"/>
          <w:szCs w:val="28"/>
        </w:rPr>
        <w:t xml:space="preserve">AWRAD’s </w:t>
      </w:r>
      <w:r w:rsidR="00F619A4" w:rsidRPr="006A7CBE">
        <w:rPr>
          <w:b/>
          <w:bCs/>
          <w:sz w:val="28"/>
          <w:szCs w:val="28"/>
        </w:rPr>
        <w:t xml:space="preserve">Election Day Poll </w:t>
      </w:r>
      <w:r w:rsidRPr="006A7CBE">
        <w:rPr>
          <w:b/>
          <w:bCs/>
          <w:sz w:val="28"/>
          <w:szCs w:val="28"/>
        </w:rPr>
        <w:t>among Palestinian Voters</w:t>
      </w:r>
      <w:r w:rsidR="00F619A4" w:rsidRPr="006A7CBE">
        <w:rPr>
          <w:b/>
          <w:bCs/>
          <w:sz w:val="28"/>
          <w:szCs w:val="28"/>
        </w:rPr>
        <w:t xml:space="preserve"> during Palestinian Local Council Elections, 20 October, 2012</w:t>
      </w:r>
    </w:p>
    <w:p w:rsidR="006E441B" w:rsidRPr="006A7CBE" w:rsidRDefault="00121C3E" w:rsidP="00A17A70">
      <w:pPr>
        <w:jc w:val="both"/>
        <w:rPr>
          <w:b/>
          <w:bCs/>
          <w:i/>
          <w:iCs/>
          <w:sz w:val="28"/>
          <w:szCs w:val="28"/>
        </w:rPr>
      </w:pPr>
      <w:r w:rsidRPr="00121C3E">
        <w:rPr>
          <w:b/>
          <w:bCs/>
          <w:i/>
          <w:iCs/>
          <w:sz w:val="28"/>
          <w:szCs w:val="28"/>
        </w:rPr>
        <w:t>Publication date: 21 October 2012</w:t>
      </w:r>
    </w:p>
    <w:p w:rsidR="00F6105B" w:rsidRDefault="00F6105B" w:rsidP="00AD7D53">
      <w:pPr>
        <w:spacing w:after="0" w:line="240" w:lineRule="auto"/>
        <w:jc w:val="both"/>
        <w:rPr>
          <w:b/>
          <w:bCs/>
          <w:sz w:val="24"/>
          <w:szCs w:val="24"/>
        </w:rPr>
      </w:pPr>
    </w:p>
    <w:p w:rsidR="00E16CF6" w:rsidRPr="006A7CBE" w:rsidRDefault="00E16CF6" w:rsidP="00A17A70">
      <w:pPr>
        <w:jc w:val="both"/>
        <w:rPr>
          <w:b/>
          <w:bCs/>
          <w:sz w:val="24"/>
          <w:szCs w:val="24"/>
        </w:rPr>
      </w:pPr>
      <w:r w:rsidRPr="006A7CBE">
        <w:rPr>
          <w:b/>
          <w:bCs/>
          <w:sz w:val="24"/>
          <w:szCs w:val="24"/>
        </w:rPr>
        <w:t>Introduction</w:t>
      </w:r>
    </w:p>
    <w:p w:rsidR="006E441B" w:rsidRDefault="006E441B" w:rsidP="00A17A70">
      <w:pPr>
        <w:jc w:val="both"/>
      </w:pPr>
      <w:r w:rsidRPr="00F619A4">
        <w:t xml:space="preserve"> These are the results of </w:t>
      </w:r>
      <w:r w:rsidR="00B63D80">
        <w:t xml:space="preserve">AWRAD’s </w:t>
      </w:r>
      <w:r w:rsidR="00B63D80" w:rsidRPr="006A7CBE">
        <w:rPr>
          <w:b/>
          <w:bCs/>
        </w:rPr>
        <w:t>election</w:t>
      </w:r>
      <w:r w:rsidRPr="006A7CBE">
        <w:rPr>
          <w:b/>
          <w:bCs/>
        </w:rPr>
        <w:t xml:space="preserve"> – day poll</w:t>
      </w:r>
      <w:r w:rsidRPr="00F619A4">
        <w:t xml:space="preserve"> among Palestinian voters </w:t>
      </w:r>
      <w:r w:rsidR="00AD0B6D" w:rsidRPr="00F619A4">
        <w:t xml:space="preserve">run </w:t>
      </w:r>
      <w:r w:rsidR="00A2232B" w:rsidRPr="00D406C9">
        <w:t>on the 20</w:t>
      </w:r>
      <w:r w:rsidR="00A2232B" w:rsidRPr="00D406C9">
        <w:rPr>
          <w:vertAlign w:val="superscript"/>
        </w:rPr>
        <w:t>th</w:t>
      </w:r>
      <w:r w:rsidR="00A2232B" w:rsidRPr="00D406C9">
        <w:t xml:space="preserve"> of October 2012</w:t>
      </w:r>
      <w:r w:rsidR="00B63D80">
        <w:t xml:space="preserve"> during the </w:t>
      </w:r>
      <w:r w:rsidR="00AD0B6D" w:rsidRPr="006A7CBE">
        <w:t xml:space="preserve">local Palestinian </w:t>
      </w:r>
      <w:r w:rsidR="00B63D80" w:rsidRPr="006A7CBE">
        <w:t>elections,</w:t>
      </w:r>
      <w:r w:rsidR="00B63D80">
        <w:t xml:space="preserve"> which were </w:t>
      </w:r>
      <w:r w:rsidR="00AD0B6D" w:rsidRPr="006A7CBE">
        <w:t xml:space="preserve">conducted </w:t>
      </w:r>
      <w:r w:rsidR="00A2232B" w:rsidRPr="006A7CBE">
        <w:t xml:space="preserve">in </w:t>
      </w:r>
      <w:r w:rsidR="00B63D80" w:rsidRPr="00A17A70">
        <w:t>93</w:t>
      </w:r>
      <w:r w:rsidR="00A2232B" w:rsidRPr="006A7CBE">
        <w:t xml:space="preserve"> West Bank </w:t>
      </w:r>
      <w:r w:rsidR="008D170E" w:rsidRPr="006A7CBE">
        <w:t xml:space="preserve">communities. </w:t>
      </w:r>
      <w:r w:rsidR="00D406C9" w:rsidRPr="00A74252">
        <w:t xml:space="preserve">AWRAD interviewed  820  voters exiting </w:t>
      </w:r>
      <w:r w:rsidR="0001233F">
        <w:t>202</w:t>
      </w:r>
      <w:r w:rsidR="00D406C9" w:rsidRPr="00A74252">
        <w:t xml:space="preserve"> voting station in 49 voting centers located in 19 communities including major cities (Jenin, Tul</w:t>
      </w:r>
      <w:r w:rsidR="00D406C9" w:rsidRPr="00D406C9">
        <w:t>k</w:t>
      </w:r>
      <w:r w:rsidR="00D406C9">
        <w:t>a</w:t>
      </w:r>
      <w:r w:rsidR="00D406C9" w:rsidRPr="00D406C9">
        <w:t>rem,</w:t>
      </w:r>
      <w:r w:rsidR="004C6A45">
        <w:t xml:space="preserve"> Nablus,</w:t>
      </w:r>
      <w:r w:rsidR="00D406C9" w:rsidRPr="00D406C9">
        <w:t xml:space="preserve"> Qalqilya, Jericho, Ramallah, Al Bireh, Bethlehem, </w:t>
      </w:r>
      <w:r w:rsidR="00D406C9" w:rsidRPr="006A7CBE">
        <w:t xml:space="preserve">Hebron and Yatta) and small towns and villages (Tubas, Qabatiya, Ateel, Salfit, Bedya, Aseera Shamaleya, Birzeit, Abu Dis and Beit Jala). </w:t>
      </w:r>
      <w:r w:rsidR="008D170E" w:rsidRPr="006A7CBE">
        <w:t>The sample</w:t>
      </w:r>
      <w:r w:rsidR="00894212" w:rsidRPr="006A7CBE">
        <w:t xml:space="preserve"> was selected through systematic random selection. </w:t>
      </w:r>
    </w:p>
    <w:p w:rsidR="00F6105B" w:rsidRPr="006A7CBE" w:rsidRDefault="00F6105B" w:rsidP="00AD7D53">
      <w:pPr>
        <w:spacing w:after="0" w:line="240" w:lineRule="auto"/>
        <w:jc w:val="both"/>
      </w:pPr>
    </w:p>
    <w:p w:rsidR="004613EE" w:rsidRPr="006A7CBE" w:rsidRDefault="004613EE" w:rsidP="00A17A70">
      <w:pPr>
        <w:jc w:val="both"/>
        <w:rPr>
          <w:b/>
          <w:bCs/>
          <w:sz w:val="24"/>
          <w:szCs w:val="24"/>
        </w:rPr>
      </w:pPr>
      <w:r w:rsidRPr="006A7CBE">
        <w:rPr>
          <w:b/>
          <w:bCs/>
          <w:sz w:val="24"/>
          <w:szCs w:val="24"/>
        </w:rPr>
        <w:t>Main Results</w:t>
      </w:r>
    </w:p>
    <w:p w:rsidR="008D170E" w:rsidRPr="00F619A4" w:rsidRDefault="008D170E" w:rsidP="00A17A70">
      <w:pPr>
        <w:jc w:val="both"/>
        <w:rPr>
          <w:b/>
          <w:bCs/>
          <w:u w:val="single"/>
        </w:rPr>
      </w:pPr>
      <w:r w:rsidRPr="00F619A4">
        <w:rPr>
          <w:b/>
          <w:bCs/>
          <w:u w:val="single"/>
        </w:rPr>
        <w:t>So</w:t>
      </w:r>
      <w:r w:rsidR="00492AC6" w:rsidRPr="00F619A4">
        <w:rPr>
          <w:b/>
          <w:bCs/>
          <w:u w:val="single"/>
        </w:rPr>
        <w:t>cio-Economic Profile of Voters</w:t>
      </w:r>
    </w:p>
    <w:p w:rsidR="008D170E" w:rsidRDefault="00F2531B" w:rsidP="00AD7D53">
      <w:pPr>
        <w:pStyle w:val="ListParagraph"/>
        <w:numPr>
          <w:ilvl w:val="0"/>
          <w:numId w:val="3"/>
        </w:numPr>
        <w:ind w:left="360"/>
        <w:jc w:val="both"/>
      </w:pPr>
      <w:r>
        <w:t>Women comprise 45 percent an</w:t>
      </w:r>
      <w:r w:rsidR="008D170E">
        <w:t>d men 55 percent of the voters.</w:t>
      </w:r>
    </w:p>
    <w:p w:rsidR="008D170E" w:rsidRDefault="008D170E" w:rsidP="00AD7D53">
      <w:pPr>
        <w:pStyle w:val="ListParagraph"/>
        <w:numPr>
          <w:ilvl w:val="0"/>
          <w:numId w:val="3"/>
        </w:numPr>
        <w:ind w:left="360"/>
        <w:jc w:val="both"/>
      </w:pPr>
      <w:r>
        <w:t xml:space="preserve">Youth (18-30 years old) </w:t>
      </w:r>
      <w:r w:rsidR="00F2531B">
        <w:t xml:space="preserve">played a </w:t>
      </w:r>
      <w:r w:rsidR="00E16CF6">
        <w:t xml:space="preserve">decisive role in the vote. Youth comprise 38 percent of the voters </w:t>
      </w:r>
      <w:r w:rsidR="00F2531B">
        <w:t>with</w:t>
      </w:r>
      <w:r w:rsidR="00E16CF6">
        <w:t>in this age group (their representation</w:t>
      </w:r>
      <w:r w:rsidR="00F2531B">
        <w:t xml:space="preserve"> in the ov</w:t>
      </w:r>
      <w:r w:rsidR="00E16CF6">
        <w:t>erall population is 23 percent),</w:t>
      </w:r>
      <w:r w:rsidR="00F2531B">
        <w:t xml:space="preserve"> 48 percent of the voters are 31-50 years old and the rest (15 perce</w:t>
      </w:r>
      <w:r w:rsidR="00E16CF6">
        <w:t>nt) are older than 50.</w:t>
      </w:r>
    </w:p>
    <w:p w:rsidR="00F2531B" w:rsidRDefault="00E16CF6" w:rsidP="00AD7D53">
      <w:pPr>
        <w:pStyle w:val="ListParagraph"/>
        <w:numPr>
          <w:ilvl w:val="0"/>
          <w:numId w:val="3"/>
        </w:numPr>
        <w:ind w:left="360"/>
        <w:jc w:val="both"/>
      </w:pPr>
      <w:r>
        <w:t>G</w:t>
      </w:r>
      <w:r w:rsidR="00F2531B">
        <w:t>overnment employees</w:t>
      </w:r>
      <w:r>
        <w:t xml:space="preserve"> comprise 27 percent of the </w:t>
      </w:r>
      <w:r w:rsidR="00D406C9">
        <w:t>voters, 66</w:t>
      </w:r>
      <w:r w:rsidR="00133F01">
        <w:t xml:space="preserve"> </w:t>
      </w:r>
      <w:r w:rsidR="00D406C9">
        <w:t>percent of</w:t>
      </w:r>
      <w:r w:rsidR="00133F01">
        <w:t xml:space="preserve"> </w:t>
      </w:r>
      <w:r w:rsidR="00D406C9">
        <w:t>voters work</w:t>
      </w:r>
      <w:r w:rsidR="00133F01">
        <w:t xml:space="preserve"> </w:t>
      </w:r>
      <w:r w:rsidR="00F2531B">
        <w:t>in the priv</w:t>
      </w:r>
      <w:r>
        <w:t>ate sector, and 7 percent work</w:t>
      </w:r>
      <w:r w:rsidR="00F2531B">
        <w:t xml:space="preserve"> with NGOs.</w:t>
      </w:r>
    </w:p>
    <w:p w:rsidR="00F2531B" w:rsidRDefault="00E16CF6" w:rsidP="00AD7D53">
      <w:pPr>
        <w:pStyle w:val="ListParagraph"/>
        <w:numPr>
          <w:ilvl w:val="0"/>
          <w:numId w:val="3"/>
        </w:numPr>
        <w:ind w:left="360"/>
        <w:jc w:val="both"/>
      </w:pPr>
      <w:r>
        <w:t xml:space="preserve">Refugees comprise </w:t>
      </w:r>
      <w:r w:rsidR="00F2531B">
        <w:t>28 percent of the v</w:t>
      </w:r>
      <w:r>
        <w:t>oters</w:t>
      </w:r>
      <w:r w:rsidR="00D406C9">
        <w:t>, while</w:t>
      </w:r>
      <w:r w:rsidR="00F2531B">
        <w:t xml:space="preserve"> 72 percent are non-refugee.</w:t>
      </w:r>
    </w:p>
    <w:p w:rsidR="00F2531B" w:rsidRDefault="00F2531B" w:rsidP="00AD7D53">
      <w:pPr>
        <w:pStyle w:val="ListParagraph"/>
        <w:numPr>
          <w:ilvl w:val="0"/>
          <w:numId w:val="3"/>
        </w:numPr>
        <w:ind w:left="360"/>
        <w:jc w:val="both"/>
      </w:pPr>
      <w:r>
        <w:t xml:space="preserve">Self-reported level of household income: </w:t>
      </w:r>
      <w:r w:rsidRPr="00B63D80">
        <w:t xml:space="preserve">18 percent above average, 62 percent </w:t>
      </w:r>
      <w:r w:rsidR="00E16CF6" w:rsidRPr="00B63D80">
        <w:t xml:space="preserve">average and 20 </w:t>
      </w:r>
      <w:r w:rsidR="00D406C9" w:rsidRPr="00B63D80">
        <w:t>percent below</w:t>
      </w:r>
      <w:r w:rsidRPr="00B63D80">
        <w:t xml:space="preserve"> average.</w:t>
      </w:r>
    </w:p>
    <w:p w:rsidR="00FB5ED6" w:rsidRPr="00D406C9" w:rsidRDefault="00505F49" w:rsidP="00A17A70">
      <w:pPr>
        <w:jc w:val="both"/>
        <w:rPr>
          <w:b/>
          <w:bCs/>
          <w:u w:val="single"/>
        </w:rPr>
      </w:pPr>
      <w:r w:rsidRPr="00F619A4">
        <w:rPr>
          <w:b/>
          <w:bCs/>
          <w:u w:val="single"/>
        </w:rPr>
        <w:t>Evaluation</w:t>
      </w:r>
      <w:r w:rsidR="00492AC6" w:rsidRPr="00D406C9">
        <w:rPr>
          <w:b/>
          <w:bCs/>
          <w:u w:val="single"/>
        </w:rPr>
        <w:t xml:space="preserve"> of the Election</w:t>
      </w:r>
    </w:p>
    <w:p w:rsidR="00505F49" w:rsidRDefault="00505F49" w:rsidP="00AD7D53">
      <w:pPr>
        <w:pStyle w:val="ListParagraph"/>
        <w:numPr>
          <w:ilvl w:val="0"/>
          <w:numId w:val="3"/>
        </w:numPr>
        <w:tabs>
          <w:tab w:val="left" w:pos="360"/>
        </w:tabs>
        <w:ind w:left="360"/>
        <w:jc w:val="both"/>
      </w:pPr>
      <w:r>
        <w:t>88 percent of the voters say that they are very pleased (58 percent) or somewhat pleased that they participated in the voting. 10 percent are indifferent and only 2 percent are displeased.</w:t>
      </w:r>
    </w:p>
    <w:p w:rsidR="00505F49" w:rsidRDefault="00505F49" w:rsidP="00133F01">
      <w:pPr>
        <w:pStyle w:val="ListParagraph"/>
        <w:numPr>
          <w:ilvl w:val="0"/>
          <w:numId w:val="3"/>
        </w:numPr>
        <w:tabs>
          <w:tab w:val="left" w:pos="360"/>
        </w:tabs>
        <w:ind w:left="360"/>
        <w:jc w:val="both"/>
      </w:pPr>
      <w:r>
        <w:t>93 percent believe that their vote makes a difference, while only 4 percent believe the opposite.</w:t>
      </w:r>
    </w:p>
    <w:p w:rsidR="00505F49" w:rsidRDefault="00505F49" w:rsidP="00AD7D53">
      <w:pPr>
        <w:pStyle w:val="ListParagraph"/>
        <w:numPr>
          <w:ilvl w:val="0"/>
          <w:numId w:val="3"/>
        </w:numPr>
        <w:tabs>
          <w:tab w:val="left" w:pos="360"/>
        </w:tabs>
        <w:ind w:left="360"/>
        <w:jc w:val="both"/>
      </w:pPr>
      <w:r>
        <w:lastRenderedPageBreak/>
        <w:t>92 percent say that the election was fair (76 percent)</w:t>
      </w:r>
      <w:r w:rsidR="00F85519">
        <w:t>,</w:t>
      </w:r>
      <w:r>
        <w:t xml:space="preserve"> or somewhat fair (15 percent). Only 2 percent say that the election was unfair.</w:t>
      </w:r>
    </w:p>
    <w:p w:rsidR="00505F49" w:rsidRDefault="00505F49" w:rsidP="00AD7D53">
      <w:pPr>
        <w:pStyle w:val="ListParagraph"/>
        <w:numPr>
          <w:ilvl w:val="0"/>
          <w:numId w:val="3"/>
        </w:numPr>
        <w:tabs>
          <w:tab w:val="left" w:pos="360"/>
        </w:tabs>
        <w:ind w:left="360"/>
        <w:jc w:val="both"/>
      </w:pPr>
      <w:r>
        <w:t xml:space="preserve">93 percent of the voters are satisfied (67 percent) or somewhat satisfied (26 percent) with the performance of the Central Election Commission. Only 4 percent are dissatisfied. </w:t>
      </w:r>
    </w:p>
    <w:p w:rsidR="00266B10" w:rsidRPr="00D406C9" w:rsidRDefault="00492AC6" w:rsidP="00A17A70">
      <w:pPr>
        <w:jc w:val="both"/>
        <w:rPr>
          <w:b/>
          <w:bCs/>
          <w:u w:val="single"/>
        </w:rPr>
      </w:pPr>
      <w:r w:rsidRPr="00F619A4">
        <w:rPr>
          <w:b/>
          <w:bCs/>
          <w:u w:val="single"/>
        </w:rPr>
        <w:t>Reasons for Participation</w:t>
      </w:r>
    </w:p>
    <w:p w:rsidR="00FB5ED6" w:rsidRPr="00F85519" w:rsidRDefault="00F85519" w:rsidP="00AD7D53">
      <w:pPr>
        <w:pStyle w:val="ListParagraph"/>
        <w:numPr>
          <w:ilvl w:val="0"/>
          <w:numId w:val="3"/>
        </w:numPr>
        <w:ind w:left="360"/>
        <w:jc w:val="both"/>
        <w:rPr>
          <w:i/>
          <w:iCs/>
        </w:rPr>
      </w:pPr>
      <w:r>
        <w:t>When asked</w:t>
      </w:r>
      <w:r w:rsidR="00C16A08">
        <w:t xml:space="preserve"> </w:t>
      </w:r>
      <w:r w:rsidR="00266B10">
        <w:t>to select the most important reason</w:t>
      </w:r>
      <w:r w:rsidR="00C16A08">
        <w:t xml:space="preserve"> </w:t>
      </w:r>
      <w:r w:rsidR="00266B10">
        <w:t>behind voting</w:t>
      </w:r>
      <w:r w:rsidR="00505F49">
        <w:t xml:space="preserve">, </w:t>
      </w:r>
      <w:r w:rsidR="00C16A08">
        <w:t xml:space="preserve">52 percent said </w:t>
      </w:r>
      <w:r>
        <w:t>“</w:t>
      </w:r>
      <w:r w:rsidR="00266B10" w:rsidRPr="00F85519">
        <w:rPr>
          <w:i/>
          <w:iCs/>
        </w:rPr>
        <w:t xml:space="preserve">voting is a civic duty.” </w:t>
      </w:r>
    </w:p>
    <w:p w:rsidR="00266B10" w:rsidRDefault="00266B10" w:rsidP="00AD7D53">
      <w:pPr>
        <w:pStyle w:val="ListParagraph"/>
        <w:numPr>
          <w:ilvl w:val="0"/>
          <w:numId w:val="3"/>
        </w:numPr>
        <w:ind w:left="360"/>
        <w:jc w:val="both"/>
      </w:pPr>
      <w:r>
        <w:t>21 percent of the voters</w:t>
      </w:r>
      <w:r w:rsidR="00C16A08">
        <w:t xml:space="preserve"> said </w:t>
      </w:r>
      <w:r w:rsidR="00F85519">
        <w:t>“</w:t>
      </w:r>
      <w:r w:rsidRPr="00F85519">
        <w:rPr>
          <w:i/>
          <w:iCs/>
        </w:rPr>
        <w:t xml:space="preserve">local councils serve an </w:t>
      </w:r>
      <w:r w:rsidR="00F85519" w:rsidRPr="00F85519">
        <w:rPr>
          <w:i/>
          <w:iCs/>
        </w:rPr>
        <w:t>important role in the community</w:t>
      </w:r>
      <w:r w:rsidR="00F85519">
        <w:t>”</w:t>
      </w:r>
      <w:r>
        <w:t xml:space="preserve">. </w:t>
      </w:r>
    </w:p>
    <w:p w:rsidR="00FB5ED6" w:rsidRDefault="00266B10" w:rsidP="00AD7D53">
      <w:pPr>
        <w:pStyle w:val="ListParagraph"/>
        <w:numPr>
          <w:ilvl w:val="0"/>
          <w:numId w:val="3"/>
        </w:numPr>
        <w:ind w:left="360"/>
        <w:jc w:val="both"/>
      </w:pPr>
      <w:r>
        <w:t>Other reason</w:t>
      </w:r>
      <w:r w:rsidR="00F85519">
        <w:t>s</w:t>
      </w:r>
      <w:r>
        <w:t xml:space="preserve"> include: membership /support of a political group (9 percent), expression of displeasure with the current office holders (8 percent), desire to vote for a family candidate (5 percent). </w:t>
      </w:r>
    </w:p>
    <w:p w:rsidR="00266B10" w:rsidRPr="00F619A4" w:rsidRDefault="00266B10" w:rsidP="00A17A70">
      <w:pPr>
        <w:jc w:val="both"/>
        <w:rPr>
          <w:b/>
          <w:bCs/>
          <w:u w:val="single"/>
        </w:rPr>
      </w:pPr>
      <w:r w:rsidRPr="00F619A4">
        <w:rPr>
          <w:b/>
          <w:bCs/>
          <w:u w:val="single"/>
        </w:rPr>
        <w:t>Reasons for se</w:t>
      </w:r>
      <w:r w:rsidR="00492AC6" w:rsidRPr="00F619A4">
        <w:rPr>
          <w:b/>
          <w:bCs/>
          <w:u w:val="single"/>
        </w:rPr>
        <w:t>lecting a list</w:t>
      </w:r>
    </w:p>
    <w:p w:rsidR="00266B10" w:rsidRDefault="00F85519" w:rsidP="00A17A70">
      <w:pPr>
        <w:jc w:val="both"/>
      </w:pPr>
      <w:r>
        <w:t>Voters  ranked the</w:t>
      </w:r>
      <w:r w:rsidR="00266B10">
        <w:t xml:space="preserve"> relevance of the following criteria in their s</w:t>
      </w:r>
      <w:r>
        <w:t>election of a list to vote for as follows:</w:t>
      </w:r>
    </w:p>
    <w:p w:rsidR="00266B10" w:rsidRDefault="00E17BC2" w:rsidP="00AD7D53">
      <w:pPr>
        <w:pStyle w:val="ListParagraph"/>
        <w:numPr>
          <w:ilvl w:val="0"/>
          <w:numId w:val="3"/>
        </w:numPr>
        <w:ind w:left="360"/>
        <w:jc w:val="both"/>
      </w:pPr>
      <w:r>
        <w:t>C</w:t>
      </w:r>
      <w:r w:rsidR="00F85519">
        <w:t xml:space="preserve">redibility of the </w:t>
      </w:r>
      <w:r w:rsidR="00266B10">
        <w:t>candidates</w:t>
      </w:r>
      <w:r w:rsidR="00F85519">
        <w:t xml:space="preserve"> on the list (46 percent)</w:t>
      </w:r>
      <w:r w:rsidR="007F28D8">
        <w:t>.</w:t>
      </w:r>
    </w:p>
    <w:p w:rsidR="00266B10" w:rsidRDefault="00E17BC2" w:rsidP="00AD7D53">
      <w:pPr>
        <w:pStyle w:val="ListParagraph"/>
        <w:numPr>
          <w:ilvl w:val="0"/>
          <w:numId w:val="3"/>
        </w:numPr>
        <w:ind w:left="360"/>
        <w:jc w:val="both"/>
      </w:pPr>
      <w:r>
        <w:t>A</w:t>
      </w:r>
      <w:r w:rsidR="00F85519">
        <w:t>genda of the list (15 percent)</w:t>
      </w:r>
      <w:r w:rsidR="007F28D8">
        <w:t>.</w:t>
      </w:r>
    </w:p>
    <w:p w:rsidR="00266B10" w:rsidRDefault="00E17BC2" w:rsidP="00AD7D53">
      <w:pPr>
        <w:pStyle w:val="ListParagraph"/>
        <w:numPr>
          <w:ilvl w:val="0"/>
          <w:numId w:val="3"/>
        </w:numPr>
        <w:ind w:left="360"/>
        <w:jc w:val="both"/>
      </w:pPr>
      <w:r>
        <w:t>P</w:t>
      </w:r>
      <w:r w:rsidR="00266B10">
        <w:t>olitical</w:t>
      </w:r>
      <w:r w:rsidR="00F85519">
        <w:t xml:space="preserve"> views of the list (14 percent)</w:t>
      </w:r>
      <w:r w:rsidR="007F28D8">
        <w:t>.</w:t>
      </w:r>
    </w:p>
    <w:p w:rsidR="00266B10" w:rsidRDefault="00E17BC2" w:rsidP="00AD7D53">
      <w:pPr>
        <w:pStyle w:val="ListParagraph"/>
        <w:numPr>
          <w:ilvl w:val="0"/>
          <w:numId w:val="3"/>
        </w:numPr>
        <w:ind w:left="360"/>
        <w:jc w:val="both"/>
      </w:pPr>
      <w:r>
        <w:t>S</w:t>
      </w:r>
      <w:r w:rsidR="00266B10">
        <w:t xml:space="preserve">ocial-cultural </w:t>
      </w:r>
      <w:r w:rsidR="00F85519">
        <w:t>agenda of the list (10 percent)</w:t>
      </w:r>
      <w:r w:rsidR="007F28D8">
        <w:t>.</w:t>
      </w:r>
    </w:p>
    <w:p w:rsidR="00266B10" w:rsidRDefault="00E17BC2" w:rsidP="00AD7D53">
      <w:pPr>
        <w:pStyle w:val="ListParagraph"/>
        <w:numPr>
          <w:ilvl w:val="0"/>
          <w:numId w:val="3"/>
        </w:numPr>
        <w:ind w:left="360"/>
        <w:jc w:val="both"/>
      </w:pPr>
      <w:r>
        <w:t>R</w:t>
      </w:r>
      <w:r w:rsidR="00266B10">
        <w:t>epresentation of a family</w:t>
      </w:r>
      <w:r w:rsidR="00F85519">
        <w:t xml:space="preserve"> member in the list (7 percent)</w:t>
      </w:r>
      <w:r w:rsidR="007F28D8">
        <w:t>.</w:t>
      </w:r>
    </w:p>
    <w:p w:rsidR="00266B10" w:rsidRDefault="00266B10" w:rsidP="00AD7D53">
      <w:pPr>
        <w:pStyle w:val="ListParagraph"/>
        <w:numPr>
          <w:ilvl w:val="0"/>
          <w:numId w:val="3"/>
        </w:numPr>
        <w:ind w:left="360"/>
        <w:jc w:val="both"/>
      </w:pPr>
      <w:r>
        <w:t>Connectivity of list members to national leadership (6 percent).</w:t>
      </w:r>
    </w:p>
    <w:p w:rsidR="00266B10" w:rsidRPr="00D406C9" w:rsidRDefault="00492AC6" w:rsidP="00A17A70">
      <w:pPr>
        <w:jc w:val="both"/>
        <w:rPr>
          <w:b/>
          <w:bCs/>
          <w:u w:val="single"/>
        </w:rPr>
      </w:pPr>
      <w:r w:rsidRPr="00F619A4">
        <w:rPr>
          <w:b/>
          <w:bCs/>
          <w:u w:val="single"/>
        </w:rPr>
        <w:t>Immediate Priorities</w:t>
      </w:r>
    </w:p>
    <w:p w:rsidR="00266B10" w:rsidRDefault="00266B10" w:rsidP="00A17A70">
      <w:pPr>
        <w:jc w:val="both"/>
      </w:pPr>
      <w:r>
        <w:t>Voters have high expectations from the new leaders of local councils:</w:t>
      </w:r>
    </w:p>
    <w:p w:rsidR="00266B10" w:rsidRDefault="00B96775" w:rsidP="00AD7D53">
      <w:pPr>
        <w:pStyle w:val="ListParagraph"/>
        <w:numPr>
          <w:ilvl w:val="0"/>
          <w:numId w:val="3"/>
        </w:numPr>
        <w:tabs>
          <w:tab w:val="left" w:pos="360"/>
        </w:tabs>
        <w:ind w:left="360"/>
        <w:jc w:val="both"/>
      </w:pPr>
      <w:r>
        <w:t>35 percent s</w:t>
      </w:r>
      <w:r w:rsidR="00492AC6">
        <w:t>ay</w:t>
      </w:r>
      <w:r>
        <w:t xml:space="preserve"> that their immediate priority i</w:t>
      </w:r>
      <w:r w:rsidR="00E17BC2">
        <w:t xml:space="preserve">s to improve conditions to enable </w:t>
      </w:r>
      <w:r>
        <w:t>economic development and job creation; in addition, 4 percent beli</w:t>
      </w:r>
      <w:r w:rsidR="00492AC6">
        <w:t>e</w:t>
      </w:r>
      <w:r>
        <w:t xml:space="preserve">ve that the priority </w:t>
      </w:r>
      <w:r w:rsidR="00E17BC2">
        <w:t>is to encourage more investment</w:t>
      </w:r>
      <w:r>
        <w:t>.</w:t>
      </w:r>
    </w:p>
    <w:p w:rsidR="00B96775" w:rsidRDefault="00B96775" w:rsidP="00AD7D53">
      <w:pPr>
        <w:pStyle w:val="ListParagraph"/>
        <w:numPr>
          <w:ilvl w:val="0"/>
          <w:numId w:val="3"/>
        </w:numPr>
        <w:tabs>
          <w:tab w:val="left" w:pos="360"/>
        </w:tabs>
        <w:ind w:left="360"/>
        <w:jc w:val="both"/>
      </w:pPr>
      <w:r>
        <w:t>26 percent say that the improveme</w:t>
      </w:r>
      <w:r w:rsidR="00E17BC2">
        <w:t>nt of infrastructure is their most urgent</w:t>
      </w:r>
      <w:r>
        <w:t xml:space="preserve"> priority.</w:t>
      </w:r>
    </w:p>
    <w:p w:rsidR="00B96775" w:rsidRDefault="00B96775" w:rsidP="00AD7D53">
      <w:pPr>
        <w:pStyle w:val="ListParagraph"/>
        <w:numPr>
          <w:ilvl w:val="0"/>
          <w:numId w:val="3"/>
        </w:numPr>
        <w:tabs>
          <w:tab w:val="left" w:pos="360"/>
        </w:tabs>
        <w:ind w:left="360"/>
        <w:jc w:val="both"/>
      </w:pPr>
      <w:r>
        <w:t>17 percent chose the improvement of services (water,</w:t>
      </w:r>
      <w:r w:rsidR="00E17BC2">
        <w:t xml:space="preserve"> electricity) as their most urgent</w:t>
      </w:r>
      <w:r>
        <w:t xml:space="preserve"> priority. </w:t>
      </w:r>
    </w:p>
    <w:p w:rsidR="00B96775" w:rsidRDefault="00B96775" w:rsidP="00AD7D53">
      <w:pPr>
        <w:pStyle w:val="ListParagraph"/>
        <w:numPr>
          <w:ilvl w:val="0"/>
          <w:numId w:val="3"/>
        </w:numPr>
        <w:tabs>
          <w:tab w:val="left" w:pos="360"/>
        </w:tabs>
        <w:ind w:left="360"/>
        <w:jc w:val="both"/>
      </w:pPr>
      <w:r>
        <w:t xml:space="preserve">5 percent believe that the new local council must focus on improving community internal relations and 4 percent believe it should focus on reducing bureaucracy in the work of the local council. </w:t>
      </w:r>
    </w:p>
    <w:p w:rsidR="00B96775" w:rsidRDefault="00B96775" w:rsidP="00AD7D53">
      <w:pPr>
        <w:pStyle w:val="ListParagraph"/>
        <w:numPr>
          <w:ilvl w:val="0"/>
          <w:numId w:val="3"/>
        </w:numPr>
        <w:tabs>
          <w:tab w:val="left" w:pos="360"/>
        </w:tabs>
        <w:ind w:left="360"/>
        <w:jc w:val="both"/>
      </w:pPr>
      <w:r>
        <w:t>Only 1 percent chose cultural activities a</w:t>
      </w:r>
      <w:r w:rsidR="00E17BC2">
        <w:t>nd facilities as their most urgent</w:t>
      </w:r>
      <w:r>
        <w:t xml:space="preserve"> priority.</w:t>
      </w:r>
    </w:p>
    <w:p w:rsidR="00B96775" w:rsidRPr="00492AC6" w:rsidRDefault="00492AC6" w:rsidP="00A17A70">
      <w:pPr>
        <w:jc w:val="both"/>
        <w:rPr>
          <w:b/>
          <w:bCs/>
          <w:u w:val="single"/>
        </w:rPr>
      </w:pPr>
      <w:r>
        <w:rPr>
          <w:b/>
          <w:bCs/>
          <w:u w:val="single"/>
        </w:rPr>
        <w:t>Campaign Material</w:t>
      </w:r>
    </w:p>
    <w:p w:rsidR="0062431E" w:rsidRDefault="00E17BC2" w:rsidP="00A17A70">
      <w:pPr>
        <w:jc w:val="both"/>
      </w:pPr>
      <w:r>
        <w:t xml:space="preserve">Voters </w:t>
      </w:r>
      <w:r w:rsidR="0062431E">
        <w:t>rank</w:t>
      </w:r>
      <w:r>
        <w:t>ed</w:t>
      </w:r>
      <w:r w:rsidR="0062431E">
        <w:t xml:space="preserve"> the importance of the following means for obtaining campaign material and </w:t>
      </w:r>
      <w:r>
        <w:t>information on the lists as follows:</w:t>
      </w:r>
    </w:p>
    <w:p w:rsidR="0062431E" w:rsidRDefault="0062431E" w:rsidP="00AD7D53">
      <w:pPr>
        <w:pStyle w:val="ListParagraph"/>
        <w:numPr>
          <w:ilvl w:val="0"/>
          <w:numId w:val="3"/>
        </w:numPr>
        <w:tabs>
          <w:tab w:val="left" w:pos="360"/>
        </w:tabs>
        <w:ind w:left="360"/>
        <w:jc w:val="both"/>
      </w:pPr>
      <w:r>
        <w:t>Internet (19 percent)</w:t>
      </w:r>
      <w:r w:rsidR="007F28D8">
        <w:t>.</w:t>
      </w:r>
    </w:p>
    <w:p w:rsidR="00B96775" w:rsidRDefault="0062431E" w:rsidP="00AD7D53">
      <w:pPr>
        <w:pStyle w:val="ListParagraph"/>
        <w:numPr>
          <w:ilvl w:val="0"/>
          <w:numId w:val="3"/>
        </w:numPr>
        <w:tabs>
          <w:tab w:val="left" w:pos="360"/>
        </w:tabs>
        <w:ind w:left="360"/>
        <w:jc w:val="both"/>
      </w:pPr>
      <w:r>
        <w:t>Informal sources of information such as relatives and friends (18 percent)</w:t>
      </w:r>
      <w:r w:rsidR="007F28D8">
        <w:t>.</w:t>
      </w:r>
    </w:p>
    <w:p w:rsidR="0062431E" w:rsidRDefault="0062431E" w:rsidP="00AD7D53">
      <w:pPr>
        <w:pStyle w:val="ListParagraph"/>
        <w:numPr>
          <w:ilvl w:val="0"/>
          <w:numId w:val="3"/>
        </w:numPr>
        <w:tabs>
          <w:tab w:val="left" w:pos="360"/>
        </w:tabs>
        <w:ind w:left="360"/>
        <w:jc w:val="both"/>
      </w:pPr>
      <w:r>
        <w:lastRenderedPageBreak/>
        <w:t>Posters/billboards (16 percent)</w:t>
      </w:r>
      <w:r w:rsidR="007F28D8">
        <w:t>.</w:t>
      </w:r>
    </w:p>
    <w:p w:rsidR="0062431E" w:rsidRDefault="0062431E" w:rsidP="00AD7D53">
      <w:pPr>
        <w:pStyle w:val="ListParagraph"/>
        <w:numPr>
          <w:ilvl w:val="0"/>
          <w:numId w:val="3"/>
        </w:numPr>
        <w:tabs>
          <w:tab w:val="left" w:pos="360"/>
        </w:tabs>
        <w:ind w:left="360"/>
        <w:jc w:val="both"/>
      </w:pPr>
      <w:r>
        <w:t>Written publications such as pamphlets (13 percent)</w:t>
      </w:r>
      <w:r w:rsidR="007F28D8">
        <w:t>.</w:t>
      </w:r>
    </w:p>
    <w:p w:rsidR="0062431E" w:rsidRDefault="0062431E" w:rsidP="00AD7D53">
      <w:pPr>
        <w:pStyle w:val="ListParagraph"/>
        <w:numPr>
          <w:ilvl w:val="0"/>
          <w:numId w:val="3"/>
        </w:numPr>
        <w:tabs>
          <w:tab w:val="left" w:pos="360"/>
        </w:tabs>
        <w:ind w:left="360"/>
        <w:jc w:val="both"/>
      </w:pPr>
      <w:r>
        <w:t>Meetings/gatherings (12 percent)</w:t>
      </w:r>
      <w:r w:rsidR="007F28D8">
        <w:t>.</w:t>
      </w:r>
    </w:p>
    <w:p w:rsidR="0062431E" w:rsidRDefault="0062431E" w:rsidP="00AD7D53">
      <w:pPr>
        <w:pStyle w:val="ListParagraph"/>
        <w:numPr>
          <w:ilvl w:val="0"/>
          <w:numId w:val="3"/>
        </w:numPr>
        <w:tabs>
          <w:tab w:val="left" w:pos="360"/>
        </w:tabs>
        <w:ind w:left="360"/>
        <w:jc w:val="both"/>
      </w:pPr>
      <w:r>
        <w:t>Radio and TV (9 percent each)</w:t>
      </w:r>
      <w:r w:rsidR="007F28D8">
        <w:t>.</w:t>
      </w:r>
    </w:p>
    <w:p w:rsidR="0062431E" w:rsidRDefault="00D92972" w:rsidP="00AD7D53">
      <w:pPr>
        <w:pStyle w:val="ListParagraph"/>
        <w:numPr>
          <w:ilvl w:val="0"/>
          <w:numId w:val="3"/>
        </w:numPr>
        <w:tabs>
          <w:tab w:val="left" w:pos="360"/>
        </w:tabs>
        <w:ind w:left="360"/>
        <w:jc w:val="both"/>
      </w:pPr>
      <w:r>
        <w:t>Phone/mobile (5 percent)</w:t>
      </w:r>
      <w:r w:rsidR="007F28D8">
        <w:t>.</w:t>
      </w:r>
    </w:p>
    <w:p w:rsidR="00B63D80" w:rsidRPr="00F619A4" w:rsidRDefault="00B63D80" w:rsidP="00A17A70">
      <w:pPr>
        <w:jc w:val="both"/>
        <w:rPr>
          <w:b/>
          <w:bCs/>
          <w:u w:val="single"/>
        </w:rPr>
      </w:pPr>
      <w:r w:rsidRPr="00F619A4">
        <w:rPr>
          <w:b/>
          <w:bCs/>
          <w:u w:val="single"/>
        </w:rPr>
        <w:t>Political Background of Voters</w:t>
      </w:r>
    </w:p>
    <w:p w:rsidR="00B63D80" w:rsidRPr="00B63D80" w:rsidRDefault="00B63D80" w:rsidP="00AD7D53">
      <w:pPr>
        <w:pStyle w:val="ListParagraph"/>
        <w:numPr>
          <w:ilvl w:val="0"/>
          <w:numId w:val="3"/>
        </w:numPr>
        <w:tabs>
          <w:tab w:val="left" w:pos="360"/>
        </w:tabs>
        <w:ind w:left="360"/>
        <w:jc w:val="both"/>
      </w:pPr>
      <w:r w:rsidRPr="00B63D80">
        <w:t>Self-identified Fatah supporters comprise 50 percent of voters with Jenin r</w:t>
      </w:r>
      <w:r>
        <w:t xml:space="preserve">egistering the highest percent </w:t>
      </w:r>
      <w:r w:rsidRPr="00B63D80">
        <w:t xml:space="preserve">(70) among these voters. </w:t>
      </w:r>
    </w:p>
    <w:p w:rsidR="00B63D80" w:rsidRPr="00B63D80" w:rsidRDefault="00B63D80" w:rsidP="00AD7D53">
      <w:pPr>
        <w:pStyle w:val="ListParagraph"/>
        <w:numPr>
          <w:ilvl w:val="0"/>
          <w:numId w:val="3"/>
        </w:numPr>
        <w:tabs>
          <w:tab w:val="left" w:pos="360"/>
        </w:tabs>
        <w:ind w:left="360"/>
        <w:jc w:val="both"/>
      </w:pPr>
      <w:r w:rsidRPr="00B63D80">
        <w:t>Independents comprise 28 percent of the vote.</w:t>
      </w:r>
    </w:p>
    <w:p w:rsidR="00B63D80" w:rsidRPr="00B63D80" w:rsidRDefault="00B63D80" w:rsidP="00AD7D53">
      <w:pPr>
        <w:pStyle w:val="ListParagraph"/>
        <w:numPr>
          <w:ilvl w:val="0"/>
          <w:numId w:val="3"/>
        </w:numPr>
        <w:tabs>
          <w:tab w:val="left" w:pos="360"/>
        </w:tabs>
        <w:ind w:left="360"/>
        <w:jc w:val="both"/>
      </w:pPr>
      <w:r w:rsidRPr="00B63D80">
        <w:t>Supporters of Islamist groups comprise 10 percent of voters with 18 percent of the vote in Hebron (11 percent Hamas, 5 percent Hizb Tahrir and 2 percent Islamic Jihad).</w:t>
      </w:r>
    </w:p>
    <w:p w:rsidR="00B63D80" w:rsidRPr="00B63D80" w:rsidRDefault="00B63D80" w:rsidP="00AD7D53">
      <w:pPr>
        <w:pStyle w:val="ListParagraph"/>
        <w:numPr>
          <w:ilvl w:val="0"/>
          <w:numId w:val="3"/>
        </w:numPr>
        <w:tabs>
          <w:tab w:val="left" w:pos="360"/>
        </w:tabs>
        <w:ind w:left="360"/>
        <w:jc w:val="both"/>
      </w:pPr>
      <w:r w:rsidRPr="00B63D80">
        <w:t>Leftist – leaning voters comprise 12 percent of voters.</w:t>
      </w:r>
    </w:p>
    <w:p w:rsidR="00B63D80" w:rsidRPr="00B63D80" w:rsidRDefault="00B63D80" w:rsidP="00A17A70">
      <w:pPr>
        <w:jc w:val="both"/>
        <w:rPr>
          <w:b/>
          <w:bCs/>
          <w:u w:val="single"/>
        </w:rPr>
      </w:pPr>
      <w:r w:rsidRPr="00B63D80">
        <w:rPr>
          <w:b/>
          <w:bCs/>
          <w:u w:val="single"/>
        </w:rPr>
        <w:t>Voting Patterns</w:t>
      </w:r>
    </w:p>
    <w:p w:rsidR="00B63D80" w:rsidRDefault="00B63D80" w:rsidP="00AD7D53">
      <w:pPr>
        <w:pStyle w:val="ListParagraph"/>
        <w:numPr>
          <w:ilvl w:val="0"/>
          <w:numId w:val="3"/>
        </w:numPr>
        <w:tabs>
          <w:tab w:val="left" w:pos="360"/>
        </w:tabs>
        <w:ind w:left="360"/>
        <w:jc w:val="both"/>
      </w:pPr>
      <w:r>
        <w:t xml:space="preserve">The majority </w:t>
      </w:r>
      <w:r w:rsidRPr="0069719F">
        <w:rPr>
          <w:b/>
          <w:bCs/>
        </w:rPr>
        <w:t>of Fatah supporters</w:t>
      </w:r>
      <w:r>
        <w:t xml:space="preserve"> voted for the officially-endorsed lists where there were no alternative Fatah lists.</w:t>
      </w:r>
    </w:p>
    <w:p w:rsidR="00B63D80" w:rsidRDefault="00B63D80" w:rsidP="00AD7D53">
      <w:pPr>
        <w:pStyle w:val="ListParagraph"/>
        <w:numPr>
          <w:ilvl w:val="0"/>
          <w:numId w:val="3"/>
        </w:numPr>
        <w:tabs>
          <w:tab w:val="left" w:pos="360"/>
        </w:tabs>
        <w:ind w:left="360"/>
        <w:jc w:val="both"/>
      </w:pPr>
      <w:r>
        <w:t>In cities where there was more than one Fatah list, the vote was divided, with some cities favoring the unofficial Fatah list. By way of illustration:</w:t>
      </w:r>
    </w:p>
    <w:p w:rsidR="00B63D80" w:rsidRDefault="00B63D80" w:rsidP="00AD7D53">
      <w:pPr>
        <w:pStyle w:val="ListParagraph"/>
        <w:numPr>
          <w:ilvl w:val="0"/>
          <w:numId w:val="4"/>
        </w:numPr>
        <w:tabs>
          <w:tab w:val="left" w:pos="360"/>
        </w:tabs>
        <w:ind w:left="360"/>
        <w:jc w:val="both"/>
      </w:pPr>
      <w:r w:rsidRPr="0081640E">
        <w:rPr>
          <w:b/>
          <w:bCs/>
        </w:rPr>
        <w:t>Nablus</w:t>
      </w:r>
      <w:r>
        <w:t>: 50 percent of Fatah supporters voted for Nablus Al Wataniyeh al Mustaqelah (headed by Mr. Ghassan Shakaa), while 45 percent voted for the official Fatah list.</w:t>
      </w:r>
    </w:p>
    <w:p w:rsidR="00B63D80" w:rsidRDefault="00B63D80" w:rsidP="00AD7D53">
      <w:pPr>
        <w:pStyle w:val="ListParagraph"/>
        <w:numPr>
          <w:ilvl w:val="0"/>
          <w:numId w:val="4"/>
        </w:numPr>
        <w:tabs>
          <w:tab w:val="left" w:pos="360"/>
        </w:tabs>
        <w:ind w:left="360"/>
        <w:jc w:val="both"/>
      </w:pPr>
      <w:r w:rsidRPr="0081640E">
        <w:rPr>
          <w:b/>
          <w:bCs/>
        </w:rPr>
        <w:t>Ramallah</w:t>
      </w:r>
      <w:r>
        <w:t>: Only 29 percent of Fatah supporters voted for the officially-endorsed unity list, while 58 percent   voted for the alternative list (Abna’al Balad).</w:t>
      </w:r>
    </w:p>
    <w:p w:rsidR="00B63D80" w:rsidRDefault="00B63D80" w:rsidP="00AD7D53">
      <w:pPr>
        <w:pStyle w:val="ListParagraph"/>
        <w:numPr>
          <w:ilvl w:val="0"/>
          <w:numId w:val="4"/>
        </w:numPr>
        <w:tabs>
          <w:tab w:val="left" w:pos="360"/>
        </w:tabs>
        <w:ind w:left="360"/>
        <w:jc w:val="both"/>
      </w:pPr>
      <w:r w:rsidRPr="0081640E">
        <w:rPr>
          <w:b/>
          <w:bCs/>
        </w:rPr>
        <w:t>Hebron</w:t>
      </w:r>
      <w:r>
        <w:t>: the official list received 85 percent of the Fatah vote.</w:t>
      </w:r>
    </w:p>
    <w:p w:rsidR="00B63D80" w:rsidRDefault="00B63D80" w:rsidP="00AD7D53">
      <w:pPr>
        <w:pStyle w:val="ListParagraph"/>
        <w:numPr>
          <w:ilvl w:val="0"/>
          <w:numId w:val="3"/>
        </w:numPr>
        <w:tabs>
          <w:tab w:val="left" w:pos="360"/>
        </w:tabs>
        <w:ind w:left="360"/>
        <w:jc w:val="both"/>
      </w:pPr>
      <w:r w:rsidRPr="0069719F">
        <w:rPr>
          <w:b/>
          <w:bCs/>
        </w:rPr>
        <w:t>The independent vote</w:t>
      </w:r>
      <w:r>
        <w:t xml:space="preserve"> was diverse, but inclining to the unofficial Fatah lists where available. For example:</w:t>
      </w:r>
    </w:p>
    <w:p w:rsidR="00B63D80" w:rsidRDefault="00B63D80" w:rsidP="00AD7D53">
      <w:pPr>
        <w:pStyle w:val="ListParagraph"/>
        <w:numPr>
          <w:ilvl w:val="0"/>
          <w:numId w:val="4"/>
        </w:numPr>
        <w:tabs>
          <w:tab w:val="left" w:pos="360"/>
        </w:tabs>
        <w:ind w:left="360"/>
        <w:jc w:val="both"/>
      </w:pPr>
      <w:r w:rsidRPr="0081640E">
        <w:rPr>
          <w:b/>
          <w:bCs/>
        </w:rPr>
        <w:t>Nablus</w:t>
      </w:r>
      <w:r>
        <w:t>: 65 percent of self-identified independents voted for Nablus Al Wataniyeh al Mustaqelah, while 23 percent   voted for the official Fatah list.</w:t>
      </w:r>
    </w:p>
    <w:p w:rsidR="00B63D80" w:rsidRDefault="00B63D80" w:rsidP="00AD7D53">
      <w:pPr>
        <w:pStyle w:val="ListParagraph"/>
        <w:numPr>
          <w:ilvl w:val="0"/>
          <w:numId w:val="4"/>
        </w:numPr>
        <w:tabs>
          <w:tab w:val="left" w:pos="360"/>
        </w:tabs>
        <w:ind w:left="360"/>
        <w:jc w:val="both"/>
      </w:pPr>
      <w:r w:rsidRPr="0081640E">
        <w:rPr>
          <w:b/>
          <w:bCs/>
        </w:rPr>
        <w:t>Ramallah</w:t>
      </w:r>
      <w:r>
        <w:t>: as in Nablus, the majority of independents (53 percent) voted for the alternative Fatah list (Abna’al Balad), 16 percent voted for Al Mustaqbal list and only 11 percent for Al Mustaqelah list.</w:t>
      </w:r>
    </w:p>
    <w:p w:rsidR="00B63D80" w:rsidRDefault="00B63D80" w:rsidP="00AD7D53">
      <w:pPr>
        <w:pStyle w:val="ListParagraph"/>
        <w:numPr>
          <w:ilvl w:val="0"/>
          <w:numId w:val="4"/>
        </w:numPr>
        <w:tabs>
          <w:tab w:val="left" w:pos="360"/>
        </w:tabs>
        <w:ind w:left="360"/>
        <w:jc w:val="both"/>
      </w:pPr>
      <w:r w:rsidRPr="0081640E">
        <w:rPr>
          <w:b/>
          <w:bCs/>
        </w:rPr>
        <w:t>Hebron</w:t>
      </w:r>
      <w:r>
        <w:t>: One third of the independents voted for Al Khalil Madina Asreya (independent Islamist list), and around 30 percent voted for the official Fatah list.</w:t>
      </w:r>
    </w:p>
    <w:p w:rsidR="00CE3510" w:rsidRPr="00AD7D53" w:rsidRDefault="00B63D80" w:rsidP="00AD7D53">
      <w:pPr>
        <w:pStyle w:val="ListParagraph"/>
        <w:numPr>
          <w:ilvl w:val="0"/>
          <w:numId w:val="3"/>
        </w:numPr>
        <w:tabs>
          <w:tab w:val="left" w:pos="360"/>
        </w:tabs>
        <w:ind w:left="360"/>
        <w:jc w:val="both"/>
      </w:pPr>
      <w:r>
        <w:rPr>
          <w:b/>
          <w:bCs/>
        </w:rPr>
        <w:t>The Islamist</w:t>
      </w:r>
      <w:r w:rsidRPr="0069719F">
        <w:rPr>
          <w:b/>
          <w:bCs/>
        </w:rPr>
        <w:t xml:space="preserve"> vote</w:t>
      </w:r>
      <w:r>
        <w:t xml:space="preserve"> was significant in Hebron: as previously indicated, at least 18 percent of the vote in Hebron came from Islamist supporters. The majority of them (60 percent) voted for Al Khalil Madina Asreya (list predicted to come in second place), while 1</w:t>
      </w:r>
      <w:r w:rsidR="001B6B11">
        <w:t>0</w:t>
      </w:r>
      <w:r>
        <w:t xml:space="preserve"> perce</w:t>
      </w:r>
      <w:r w:rsidR="001B6B11">
        <w:t xml:space="preserve">nt say that they voted for the </w:t>
      </w:r>
      <w:r>
        <w:t>official Fatah list.</w:t>
      </w:r>
    </w:p>
    <w:p w:rsidR="00430772" w:rsidRDefault="00430772" w:rsidP="00A17A70">
      <w:pPr>
        <w:jc w:val="both"/>
        <w:rPr>
          <w:b/>
          <w:bCs/>
          <w:u w:val="single"/>
        </w:rPr>
      </w:pPr>
    </w:p>
    <w:p w:rsidR="00430772" w:rsidRDefault="00430772" w:rsidP="00A17A70">
      <w:pPr>
        <w:jc w:val="both"/>
        <w:rPr>
          <w:b/>
          <w:bCs/>
          <w:u w:val="single"/>
        </w:rPr>
      </w:pPr>
    </w:p>
    <w:p w:rsidR="00D92972" w:rsidRPr="00492AC6" w:rsidRDefault="00D92972" w:rsidP="00A17A70">
      <w:pPr>
        <w:jc w:val="both"/>
        <w:rPr>
          <w:b/>
          <w:bCs/>
          <w:u w:val="single"/>
        </w:rPr>
      </w:pPr>
      <w:r w:rsidRPr="00492AC6">
        <w:rPr>
          <w:b/>
          <w:bCs/>
          <w:u w:val="single"/>
        </w:rPr>
        <w:lastRenderedPageBreak/>
        <w:t>AWRAD’s Exit Poll</w:t>
      </w:r>
    </w:p>
    <w:p w:rsidR="00F52236" w:rsidRDefault="002B00F3" w:rsidP="00430772">
      <w:pPr>
        <w:jc w:val="both"/>
      </w:pPr>
      <w:r>
        <w:t xml:space="preserve">In addition to the election-day poll, AWRAD carried out an exit poll to predict the results in three major cities: Nablus, Ramallah and Hebron. AWRAD interviewed a sample of </w:t>
      </w:r>
      <w:r w:rsidR="00D92972">
        <w:t>3</w:t>
      </w:r>
      <w:r w:rsidR="00E17BC2">
        <w:t>,</w:t>
      </w:r>
      <w:r w:rsidR="00D92972">
        <w:t>500</w:t>
      </w:r>
      <w:r>
        <w:t xml:space="preserve"> voters in </w:t>
      </w:r>
      <w:r w:rsidR="00D92972">
        <w:t>the three cities</w:t>
      </w:r>
      <w:r w:rsidR="00AD7D53">
        <w:t xml:space="preserve">. </w:t>
      </w:r>
      <w:r w:rsidR="00D92972">
        <w:t xml:space="preserve">AWRAD was able to correctly predict the results of the election in the three cities under consideration. </w:t>
      </w:r>
      <w:r w:rsidR="00D406C9">
        <w:t>While AWRAD will not be able to predict the exact number of seats for each list as this is based on a complex system of vote count, it was able to reach the following predictions for the approximate distribution of votes and potential representation in the three cit</w:t>
      </w:r>
      <w:r w:rsidR="00430772">
        <w:t>ies, with a margin of error +/-</w:t>
      </w:r>
      <w:r w:rsidR="00D406C9">
        <w:t xml:space="preserve"> 4 percent. </w:t>
      </w:r>
      <w:r w:rsidR="00430772">
        <w:t>L</w:t>
      </w:r>
      <w:r w:rsidR="00D92972">
        <w:t>ists in red are the ones that crossed the threshold</w:t>
      </w:r>
      <w:r w:rsidR="007F28D8">
        <w:t xml:space="preserve"> (8 percent of the vote)</w:t>
      </w:r>
      <w:r w:rsidR="00D92972">
        <w:t xml:space="preserve"> and will obtain seats. </w:t>
      </w:r>
    </w:p>
    <w:p w:rsidR="00F52236" w:rsidRPr="00F52236" w:rsidRDefault="00F52236" w:rsidP="00A17A70">
      <w:pPr>
        <w:jc w:val="both"/>
        <w:rPr>
          <w:b/>
          <w:bCs/>
        </w:rPr>
      </w:pPr>
      <w:r w:rsidRPr="00F52236">
        <w:rPr>
          <w:b/>
          <w:bCs/>
        </w:rPr>
        <w:t>AWRAD’s Exit Poll Results (20 October 2012)</w:t>
      </w:r>
    </w:p>
    <w:tbl>
      <w:tblPr>
        <w:tblStyle w:val="TableGrid"/>
        <w:tblW w:w="0" w:type="auto"/>
        <w:tblLook w:val="04A0"/>
      </w:tblPr>
      <w:tblGrid>
        <w:gridCol w:w="2448"/>
        <w:gridCol w:w="900"/>
        <w:gridCol w:w="2520"/>
        <w:gridCol w:w="832"/>
        <w:gridCol w:w="2138"/>
        <w:gridCol w:w="738"/>
      </w:tblGrid>
      <w:tr w:rsidR="000D53A9" w:rsidRPr="00BF037D" w:rsidTr="00BF037D">
        <w:tc>
          <w:tcPr>
            <w:tcW w:w="3348" w:type="dxa"/>
            <w:gridSpan w:val="2"/>
          </w:tcPr>
          <w:p w:rsidR="000D53A9" w:rsidRPr="00BF037D" w:rsidRDefault="000D53A9" w:rsidP="00A17A70">
            <w:pPr>
              <w:jc w:val="both"/>
              <w:rPr>
                <w:b/>
                <w:bCs/>
              </w:rPr>
            </w:pPr>
            <w:r w:rsidRPr="00BF037D">
              <w:rPr>
                <w:b/>
                <w:bCs/>
              </w:rPr>
              <w:t>Hebron</w:t>
            </w:r>
          </w:p>
        </w:tc>
        <w:tc>
          <w:tcPr>
            <w:tcW w:w="3352" w:type="dxa"/>
            <w:gridSpan w:val="2"/>
          </w:tcPr>
          <w:p w:rsidR="000D53A9" w:rsidRPr="00BF037D" w:rsidRDefault="000D53A9" w:rsidP="00A17A70">
            <w:pPr>
              <w:jc w:val="both"/>
              <w:rPr>
                <w:b/>
                <w:bCs/>
              </w:rPr>
            </w:pPr>
            <w:r w:rsidRPr="00BF037D">
              <w:rPr>
                <w:b/>
                <w:bCs/>
              </w:rPr>
              <w:t>Nablus</w:t>
            </w:r>
          </w:p>
        </w:tc>
        <w:tc>
          <w:tcPr>
            <w:tcW w:w="2876" w:type="dxa"/>
            <w:gridSpan w:val="2"/>
          </w:tcPr>
          <w:p w:rsidR="000D53A9" w:rsidRPr="00BF037D" w:rsidRDefault="000D53A9" w:rsidP="00A17A70">
            <w:pPr>
              <w:jc w:val="both"/>
              <w:rPr>
                <w:b/>
                <w:bCs/>
              </w:rPr>
            </w:pPr>
            <w:r w:rsidRPr="00BF037D">
              <w:rPr>
                <w:b/>
                <w:bCs/>
              </w:rPr>
              <w:t>Ramallah</w:t>
            </w:r>
          </w:p>
        </w:tc>
      </w:tr>
      <w:tr w:rsidR="00E40144" w:rsidRPr="00BF037D" w:rsidTr="00BF037D">
        <w:tc>
          <w:tcPr>
            <w:tcW w:w="2448" w:type="dxa"/>
          </w:tcPr>
          <w:p w:rsidR="00E40144" w:rsidRPr="00BF037D" w:rsidRDefault="00E40144" w:rsidP="00A17A70">
            <w:pPr>
              <w:jc w:val="both"/>
              <w:rPr>
                <w:color w:val="FF0000"/>
                <w:rtl/>
                <w:lang w:bidi="ar-JO"/>
              </w:rPr>
            </w:pPr>
            <w:r w:rsidRPr="00BF037D">
              <w:rPr>
                <w:color w:val="FF0000"/>
                <w:lang w:bidi="ar-JO"/>
              </w:rPr>
              <w:t>Alestiqlal Wa al</w:t>
            </w:r>
            <w:r w:rsidR="00BF037D" w:rsidRPr="00BF037D">
              <w:rPr>
                <w:color w:val="FF0000"/>
                <w:lang w:bidi="ar-JO"/>
              </w:rPr>
              <w:t xml:space="preserve"> T</w:t>
            </w:r>
            <w:r w:rsidRPr="00BF037D">
              <w:rPr>
                <w:color w:val="FF0000"/>
                <w:lang w:bidi="ar-JO"/>
              </w:rPr>
              <w:t xml:space="preserve">anmiya </w:t>
            </w:r>
          </w:p>
        </w:tc>
        <w:tc>
          <w:tcPr>
            <w:tcW w:w="900" w:type="dxa"/>
          </w:tcPr>
          <w:p w:rsidR="00E40144" w:rsidRPr="00BF037D" w:rsidRDefault="00E40144" w:rsidP="00A17A70">
            <w:pPr>
              <w:jc w:val="both"/>
              <w:rPr>
                <w:color w:val="FF0000"/>
                <w:lang w:bidi="ar-JO"/>
              </w:rPr>
            </w:pPr>
            <w:r w:rsidRPr="00BF037D">
              <w:rPr>
                <w:color w:val="FF0000"/>
                <w:lang w:bidi="ar-JO"/>
              </w:rPr>
              <w:t>52%</w:t>
            </w:r>
          </w:p>
        </w:tc>
        <w:tc>
          <w:tcPr>
            <w:tcW w:w="2520" w:type="dxa"/>
          </w:tcPr>
          <w:p w:rsidR="00E40144" w:rsidRPr="00BF037D" w:rsidRDefault="00E40144" w:rsidP="00133F01">
            <w:pPr>
              <w:jc w:val="both"/>
              <w:rPr>
                <w:color w:val="FF0000"/>
              </w:rPr>
            </w:pPr>
            <w:r w:rsidRPr="00BF037D">
              <w:rPr>
                <w:color w:val="FF0000"/>
              </w:rPr>
              <w:t xml:space="preserve">Nablus </w:t>
            </w:r>
            <w:r w:rsidR="00133F01">
              <w:rPr>
                <w:color w:val="FF0000"/>
              </w:rPr>
              <w:t>a</w:t>
            </w:r>
            <w:r w:rsidRPr="00BF037D">
              <w:rPr>
                <w:color w:val="FF0000"/>
              </w:rPr>
              <w:t xml:space="preserve">l Wataniyah </w:t>
            </w:r>
            <w:r w:rsidR="00D406C9">
              <w:rPr>
                <w:color w:val="FF0000"/>
              </w:rPr>
              <w:t>a</w:t>
            </w:r>
            <w:r w:rsidRPr="00BF037D">
              <w:rPr>
                <w:color w:val="FF0000"/>
              </w:rPr>
              <w:t>l Mustaqela</w:t>
            </w:r>
          </w:p>
        </w:tc>
        <w:tc>
          <w:tcPr>
            <w:tcW w:w="832" w:type="dxa"/>
          </w:tcPr>
          <w:p w:rsidR="00E40144" w:rsidRPr="00BF037D" w:rsidRDefault="0029038A" w:rsidP="00A17A70">
            <w:pPr>
              <w:jc w:val="both"/>
              <w:rPr>
                <w:color w:val="FF0000"/>
              </w:rPr>
            </w:pPr>
            <w:r>
              <w:rPr>
                <w:color w:val="FF0000"/>
              </w:rPr>
              <w:t>58</w:t>
            </w:r>
            <w:r w:rsidR="00E40144" w:rsidRPr="00BF037D">
              <w:rPr>
                <w:color w:val="FF0000"/>
              </w:rPr>
              <w:t>%</w:t>
            </w:r>
          </w:p>
        </w:tc>
        <w:tc>
          <w:tcPr>
            <w:tcW w:w="2138" w:type="dxa"/>
          </w:tcPr>
          <w:p w:rsidR="00E40144" w:rsidRPr="00BF037D" w:rsidRDefault="00E40144" w:rsidP="00A17A70">
            <w:pPr>
              <w:jc w:val="both"/>
              <w:rPr>
                <w:color w:val="FF0000"/>
              </w:rPr>
            </w:pPr>
            <w:r w:rsidRPr="00BF037D">
              <w:rPr>
                <w:color w:val="FF0000"/>
              </w:rPr>
              <w:t xml:space="preserve">Abna’ </w:t>
            </w:r>
            <w:r w:rsidR="00D406C9">
              <w:rPr>
                <w:color w:val="FF0000"/>
              </w:rPr>
              <w:t>a</w:t>
            </w:r>
            <w:r w:rsidRPr="00BF037D">
              <w:rPr>
                <w:color w:val="FF0000"/>
              </w:rPr>
              <w:t xml:space="preserve">l Balad </w:t>
            </w:r>
          </w:p>
        </w:tc>
        <w:tc>
          <w:tcPr>
            <w:tcW w:w="738" w:type="dxa"/>
          </w:tcPr>
          <w:p w:rsidR="00E40144" w:rsidRPr="00BF037D" w:rsidRDefault="00E40144" w:rsidP="00A17A70">
            <w:pPr>
              <w:jc w:val="both"/>
            </w:pPr>
            <w:r w:rsidRPr="00BF037D">
              <w:t>5</w:t>
            </w:r>
            <w:r w:rsidR="00D92972">
              <w:t>8</w:t>
            </w:r>
            <w:r w:rsidRPr="00BF037D">
              <w:t>%</w:t>
            </w:r>
          </w:p>
        </w:tc>
      </w:tr>
      <w:tr w:rsidR="00E40144" w:rsidRPr="00BF037D" w:rsidTr="00BF037D">
        <w:tc>
          <w:tcPr>
            <w:tcW w:w="2448" w:type="dxa"/>
          </w:tcPr>
          <w:p w:rsidR="00E40144" w:rsidRPr="00BF037D" w:rsidRDefault="00E40144" w:rsidP="00A17A70">
            <w:pPr>
              <w:jc w:val="both"/>
              <w:rPr>
                <w:color w:val="FF0000"/>
                <w:rtl/>
                <w:lang w:bidi="ar-JO"/>
              </w:rPr>
            </w:pPr>
            <w:r w:rsidRPr="00BF037D">
              <w:rPr>
                <w:color w:val="FF0000"/>
                <w:lang w:bidi="ar-JO"/>
              </w:rPr>
              <w:t>Alkhalil Madina Asreya</w:t>
            </w:r>
          </w:p>
        </w:tc>
        <w:tc>
          <w:tcPr>
            <w:tcW w:w="900" w:type="dxa"/>
          </w:tcPr>
          <w:p w:rsidR="00E40144" w:rsidRPr="00BF037D" w:rsidRDefault="00E40144" w:rsidP="00A17A70">
            <w:pPr>
              <w:jc w:val="both"/>
              <w:rPr>
                <w:color w:val="FF0000"/>
              </w:rPr>
            </w:pPr>
            <w:r w:rsidRPr="00BF037D">
              <w:rPr>
                <w:color w:val="FF0000"/>
              </w:rPr>
              <w:t>24%</w:t>
            </w:r>
          </w:p>
        </w:tc>
        <w:tc>
          <w:tcPr>
            <w:tcW w:w="2520" w:type="dxa"/>
          </w:tcPr>
          <w:p w:rsidR="00E40144" w:rsidRPr="00BF037D" w:rsidRDefault="00E40144" w:rsidP="00A17A70">
            <w:pPr>
              <w:jc w:val="both"/>
              <w:rPr>
                <w:color w:val="FF0000"/>
              </w:rPr>
            </w:pPr>
            <w:r w:rsidRPr="00BF037D">
              <w:rPr>
                <w:color w:val="FF0000"/>
              </w:rPr>
              <w:t>Isteqlal wa al Tanmiyah</w:t>
            </w:r>
          </w:p>
        </w:tc>
        <w:tc>
          <w:tcPr>
            <w:tcW w:w="832" w:type="dxa"/>
          </w:tcPr>
          <w:p w:rsidR="00E40144" w:rsidRPr="00BF037D" w:rsidRDefault="00D92972" w:rsidP="00A17A70">
            <w:pPr>
              <w:jc w:val="both"/>
              <w:rPr>
                <w:color w:val="FF0000"/>
              </w:rPr>
            </w:pPr>
            <w:r>
              <w:rPr>
                <w:color w:val="FF0000"/>
              </w:rPr>
              <w:t>35</w:t>
            </w:r>
            <w:r w:rsidR="00E40144" w:rsidRPr="00BF037D">
              <w:rPr>
                <w:color w:val="FF0000"/>
              </w:rPr>
              <w:t>%</w:t>
            </w:r>
          </w:p>
        </w:tc>
        <w:tc>
          <w:tcPr>
            <w:tcW w:w="2138" w:type="dxa"/>
          </w:tcPr>
          <w:p w:rsidR="00E40144" w:rsidRPr="00BF037D" w:rsidRDefault="00E40144" w:rsidP="00A17A70">
            <w:pPr>
              <w:jc w:val="both"/>
              <w:rPr>
                <w:color w:val="FF0000"/>
              </w:rPr>
            </w:pPr>
            <w:r w:rsidRPr="00BF037D">
              <w:rPr>
                <w:color w:val="FF0000"/>
              </w:rPr>
              <w:t xml:space="preserve">Ramallah </w:t>
            </w:r>
            <w:r w:rsidR="00D406C9">
              <w:rPr>
                <w:color w:val="FF0000"/>
              </w:rPr>
              <w:t>a</w:t>
            </w:r>
            <w:r w:rsidRPr="00BF037D">
              <w:rPr>
                <w:color w:val="FF0000"/>
              </w:rPr>
              <w:t>l Mustaqbal</w:t>
            </w:r>
          </w:p>
        </w:tc>
        <w:tc>
          <w:tcPr>
            <w:tcW w:w="738" w:type="dxa"/>
          </w:tcPr>
          <w:p w:rsidR="00E40144" w:rsidRPr="00BF037D" w:rsidRDefault="00D92972" w:rsidP="00A17A70">
            <w:pPr>
              <w:jc w:val="both"/>
            </w:pPr>
            <w:r>
              <w:t>30</w:t>
            </w:r>
            <w:r w:rsidR="00E40144" w:rsidRPr="00BF037D">
              <w:t>%</w:t>
            </w:r>
          </w:p>
        </w:tc>
      </w:tr>
      <w:tr w:rsidR="00E40144" w:rsidRPr="00BF037D" w:rsidTr="00BF037D">
        <w:tc>
          <w:tcPr>
            <w:tcW w:w="2448" w:type="dxa"/>
            <w:shd w:val="clear" w:color="auto" w:fill="9BBB59" w:themeFill="accent3"/>
          </w:tcPr>
          <w:p w:rsidR="00E40144" w:rsidRPr="00BF037D" w:rsidRDefault="00BF037D" w:rsidP="00A17A70">
            <w:pPr>
              <w:jc w:val="both"/>
              <w:rPr>
                <w:rtl/>
                <w:lang w:bidi="ar-JO"/>
              </w:rPr>
            </w:pPr>
            <w:r w:rsidRPr="00BF037D">
              <w:rPr>
                <w:lang w:bidi="ar-JO"/>
              </w:rPr>
              <w:t>Alkhalil Almustaqe</w:t>
            </w:r>
            <w:r w:rsidR="00E40144" w:rsidRPr="00BF037D">
              <w:rPr>
                <w:lang w:bidi="ar-JO"/>
              </w:rPr>
              <w:t>la</w:t>
            </w:r>
            <w:r w:rsidRPr="00BF037D">
              <w:rPr>
                <w:lang w:bidi="ar-JO"/>
              </w:rPr>
              <w:t>h</w:t>
            </w:r>
          </w:p>
        </w:tc>
        <w:tc>
          <w:tcPr>
            <w:tcW w:w="900" w:type="dxa"/>
            <w:shd w:val="clear" w:color="auto" w:fill="9BBB59" w:themeFill="accent3"/>
          </w:tcPr>
          <w:p w:rsidR="00E40144" w:rsidRPr="00BF037D" w:rsidRDefault="00E40144" w:rsidP="00A17A70">
            <w:pPr>
              <w:jc w:val="both"/>
            </w:pPr>
            <w:r w:rsidRPr="00BF037D">
              <w:t>6%</w:t>
            </w:r>
          </w:p>
        </w:tc>
        <w:tc>
          <w:tcPr>
            <w:tcW w:w="2520" w:type="dxa"/>
            <w:shd w:val="clear" w:color="auto" w:fill="9BBB59" w:themeFill="accent3"/>
          </w:tcPr>
          <w:p w:rsidR="00E40144" w:rsidRPr="00BF037D" w:rsidRDefault="00E40144" w:rsidP="00A17A70">
            <w:pPr>
              <w:jc w:val="both"/>
            </w:pPr>
            <w:r w:rsidRPr="00BF037D">
              <w:t>Nablus Lljamee’</w:t>
            </w:r>
          </w:p>
        </w:tc>
        <w:tc>
          <w:tcPr>
            <w:tcW w:w="832" w:type="dxa"/>
          </w:tcPr>
          <w:p w:rsidR="00E40144" w:rsidRPr="00BF037D" w:rsidRDefault="0029038A" w:rsidP="00A17A70">
            <w:pPr>
              <w:jc w:val="both"/>
            </w:pPr>
            <w:r>
              <w:t>7</w:t>
            </w:r>
            <w:r w:rsidR="00E40144" w:rsidRPr="00BF037D">
              <w:t>%</w:t>
            </w:r>
          </w:p>
        </w:tc>
        <w:tc>
          <w:tcPr>
            <w:tcW w:w="2138" w:type="dxa"/>
          </w:tcPr>
          <w:p w:rsidR="00E40144" w:rsidRPr="00BF037D" w:rsidRDefault="00BF037D" w:rsidP="00A17A70">
            <w:pPr>
              <w:jc w:val="both"/>
              <w:rPr>
                <w:color w:val="FF0000"/>
              </w:rPr>
            </w:pPr>
            <w:r w:rsidRPr="00BF037D">
              <w:rPr>
                <w:color w:val="FF0000"/>
              </w:rPr>
              <w:t xml:space="preserve">Ramallah </w:t>
            </w:r>
            <w:r w:rsidR="00D406C9">
              <w:rPr>
                <w:color w:val="FF0000"/>
              </w:rPr>
              <w:t>a</w:t>
            </w:r>
            <w:r w:rsidRPr="00BF037D">
              <w:rPr>
                <w:color w:val="FF0000"/>
              </w:rPr>
              <w:t>l Mustaqelah</w:t>
            </w:r>
          </w:p>
        </w:tc>
        <w:tc>
          <w:tcPr>
            <w:tcW w:w="738" w:type="dxa"/>
          </w:tcPr>
          <w:p w:rsidR="00E40144" w:rsidRPr="00BF037D" w:rsidRDefault="00E40144" w:rsidP="00A17A70">
            <w:pPr>
              <w:jc w:val="both"/>
            </w:pPr>
            <w:r w:rsidRPr="00BF037D">
              <w:t>1</w:t>
            </w:r>
            <w:r w:rsidR="00D92972">
              <w:t>2</w:t>
            </w:r>
            <w:r w:rsidRPr="00BF037D">
              <w:t>%</w:t>
            </w:r>
          </w:p>
        </w:tc>
      </w:tr>
      <w:tr w:rsidR="00E40144" w:rsidRPr="00BF037D" w:rsidTr="00BF037D">
        <w:tc>
          <w:tcPr>
            <w:tcW w:w="2448" w:type="dxa"/>
            <w:shd w:val="clear" w:color="auto" w:fill="9BBB59" w:themeFill="accent3"/>
          </w:tcPr>
          <w:p w:rsidR="00E40144" w:rsidRPr="00BF037D" w:rsidRDefault="00E40144" w:rsidP="00A17A70">
            <w:pPr>
              <w:jc w:val="both"/>
              <w:rPr>
                <w:rtl/>
                <w:lang w:bidi="ar-JO"/>
              </w:rPr>
            </w:pPr>
            <w:r w:rsidRPr="00BF037D">
              <w:rPr>
                <w:lang w:bidi="ar-JO"/>
              </w:rPr>
              <w:t xml:space="preserve">Alkhalil Almuwahada </w:t>
            </w:r>
          </w:p>
        </w:tc>
        <w:tc>
          <w:tcPr>
            <w:tcW w:w="900" w:type="dxa"/>
            <w:shd w:val="clear" w:color="auto" w:fill="9BBB59" w:themeFill="accent3"/>
          </w:tcPr>
          <w:p w:rsidR="00E40144" w:rsidRPr="00BF037D" w:rsidRDefault="00E40144" w:rsidP="00A17A70">
            <w:pPr>
              <w:jc w:val="both"/>
            </w:pPr>
            <w:r w:rsidRPr="00BF037D">
              <w:t>6%</w:t>
            </w:r>
          </w:p>
        </w:tc>
        <w:tc>
          <w:tcPr>
            <w:tcW w:w="2520" w:type="dxa"/>
          </w:tcPr>
          <w:p w:rsidR="00E40144" w:rsidRPr="00BF037D" w:rsidRDefault="00E40144" w:rsidP="00A17A70">
            <w:pPr>
              <w:jc w:val="both"/>
            </w:pPr>
          </w:p>
        </w:tc>
        <w:tc>
          <w:tcPr>
            <w:tcW w:w="832" w:type="dxa"/>
          </w:tcPr>
          <w:p w:rsidR="00E40144" w:rsidRPr="00BF037D" w:rsidRDefault="00E40144" w:rsidP="00A17A70">
            <w:pPr>
              <w:jc w:val="both"/>
            </w:pPr>
          </w:p>
        </w:tc>
        <w:tc>
          <w:tcPr>
            <w:tcW w:w="2138" w:type="dxa"/>
          </w:tcPr>
          <w:p w:rsidR="00E40144" w:rsidRPr="00BF037D" w:rsidRDefault="00E40144" w:rsidP="00A17A70">
            <w:pPr>
              <w:jc w:val="both"/>
            </w:pPr>
          </w:p>
        </w:tc>
        <w:tc>
          <w:tcPr>
            <w:tcW w:w="738" w:type="dxa"/>
          </w:tcPr>
          <w:p w:rsidR="00E40144" w:rsidRPr="00BF037D" w:rsidRDefault="00E40144" w:rsidP="00A17A70">
            <w:pPr>
              <w:jc w:val="both"/>
            </w:pPr>
          </w:p>
        </w:tc>
      </w:tr>
      <w:tr w:rsidR="00E40144" w:rsidRPr="00BF037D" w:rsidTr="00BF037D">
        <w:tc>
          <w:tcPr>
            <w:tcW w:w="2448" w:type="dxa"/>
            <w:shd w:val="clear" w:color="auto" w:fill="9BBB59" w:themeFill="accent3"/>
          </w:tcPr>
          <w:p w:rsidR="00E40144" w:rsidRPr="00BF037D" w:rsidRDefault="00E40144" w:rsidP="00A17A70">
            <w:pPr>
              <w:jc w:val="both"/>
              <w:rPr>
                <w:rtl/>
                <w:lang w:bidi="ar-JO"/>
              </w:rPr>
            </w:pPr>
            <w:r w:rsidRPr="00BF037D">
              <w:rPr>
                <w:lang w:bidi="ar-JO"/>
              </w:rPr>
              <w:t>Almubadara</w:t>
            </w:r>
          </w:p>
        </w:tc>
        <w:tc>
          <w:tcPr>
            <w:tcW w:w="900" w:type="dxa"/>
            <w:shd w:val="clear" w:color="auto" w:fill="9BBB59" w:themeFill="accent3"/>
          </w:tcPr>
          <w:p w:rsidR="00E40144" w:rsidRPr="00BF037D" w:rsidRDefault="00E40144" w:rsidP="00A17A70">
            <w:pPr>
              <w:jc w:val="both"/>
            </w:pPr>
            <w:r w:rsidRPr="00BF037D">
              <w:t>6%</w:t>
            </w:r>
          </w:p>
        </w:tc>
        <w:tc>
          <w:tcPr>
            <w:tcW w:w="2520" w:type="dxa"/>
          </w:tcPr>
          <w:p w:rsidR="00E40144" w:rsidRPr="00BF037D" w:rsidRDefault="00E40144" w:rsidP="00A17A70">
            <w:pPr>
              <w:jc w:val="both"/>
            </w:pPr>
          </w:p>
        </w:tc>
        <w:tc>
          <w:tcPr>
            <w:tcW w:w="832" w:type="dxa"/>
          </w:tcPr>
          <w:p w:rsidR="00E40144" w:rsidRPr="00BF037D" w:rsidRDefault="00E40144" w:rsidP="00A17A70">
            <w:pPr>
              <w:jc w:val="both"/>
            </w:pPr>
          </w:p>
        </w:tc>
        <w:tc>
          <w:tcPr>
            <w:tcW w:w="2138" w:type="dxa"/>
          </w:tcPr>
          <w:p w:rsidR="00E40144" w:rsidRPr="00BF037D" w:rsidRDefault="00E40144" w:rsidP="00A17A70">
            <w:pPr>
              <w:jc w:val="both"/>
            </w:pPr>
          </w:p>
        </w:tc>
        <w:tc>
          <w:tcPr>
            <w:tcW w:w="738" w:type="dxa"/>
          </w:tcPr>
          <w:p w:rsidR="00E40144" w:rsidRPr="00BF037D" w:rsidRDefault="00E40144" w:rsidP="00A17A70">
            <w:pPr>
              <w:jc w:val="both"/>
            </w:pPr>
          </w:p>
        </w:tc>
      </w:tr>
      <w:tr w:rsidR="00E40144" w:rsidRPr="00BF037D" w:rsidTr="00BF037D">
        <w:tc>
          <w:tcPr>
            <w:tcW w:w="2448" w:type="dxa"/>
            <w:shd w:val="clear" w:color="auto" w:fill="9BBB59" w:themeFill="accent3"/>
          </w:tcPr>
          <w:p w:rsidR="00E40144" w:rsidRPr="00BF037D" w:rsidRDefault="00E40144" w:rsidP="00A17A70">
            <w:pPr>
              <w:jc w:val="both"/>
              <w:rPr>
                <w:rtl/>
                <w:lang w:bidi="ar-JO"/>
              </w:rPr>
            </w:pPr>
            <w:r w:rsidRPr="00BF037D">
              <w:rPr>
                <w:lang w:bidi="ar-JO"/>
              </w:rPr>
              <w:t>Bilmusharaka Nastatee’</w:t>
            </w:r>
          </w:p>
        </w:tc>
        <w:tc>
          <w:tcPr>
            <w:tcW w:w="900" w:type="dxa"/>
            <w:shd w:val="clear" w:color="auto" w:fill="9BBB59" w:themeFill="accent3"/>
          </w:tcPr>
          <w:p w:rsidR="00E40144" w:rsidRPr="00BF037D" w:rsidRDefault="00E40144" w:rsidP="00A17A70">
            <w:pPr>
              <w:jc w:val="both"/>
            </w:pPr>
            <w:r w:rsidRPr="00BF037D">
              <w:t>4%</w:t>
            </w:r>
          </w:p>
        </w:tc>
        <w:tc>
          <w:tcPr>
            <w:tcW w:w="2520" w:type="dxa"/>
          </w:tcPr>
          <w:p w:rsidR="00E40144" w:rsidRPr="00BF037D" w:rsidRDefault="00E40144" w:rsidP="00A17A70">
            <w:pPr>
              <w:jc w:val="both"/>
            </w:pPr>
          </w:p>
        </w:tc>
        <w:tc>
          <w:tcPr>
            <w:tcW w:w="832" w:type="dxa"/>
          </w:tcPr>
          <w:p w:rsidR="00E40144" w:rsidRPr="00BF037D" w:rsidRDefault="00E40144" w:rsidP="00A17A70">
            <w:pPr>
              <w:jc w:val="both"/>
            </w:pPr>
          </w:p>
        </w:tc>
        <w:tc>
          <w:tcPr>
            <w:tcW w:w="2138" w:type="dxa"/>
          </w:tcPr>
          <w:p w:rsidR="00E40144" w:rsidRPr="00BF037D" w:rsidRDefault="00E40144" w:rsidP="00A17A70">
            <w:pPr>
              <w:jc w:val="both"/>
            </w:pPr>
          </w:p>
        </w:tc>
        <w:tc>
          <w:tcPr>
            <w:tcW w:w="738" w:type="dxa"/>
          </w:tcPr>
          <w:p w:rsidR="00E40144" w:rsidRPr="00BF037D" w:rsidRDefault="00E40144" w:rsidP="00A17A70">
            <w:pPr>
              <w:jc w:val="both"/>
            </w:pPr>
          </w:p>
        </w:tc>
      </w:tr>
    </w:tbl>
    <w:p w:rsidR="000D53A9" w:rsidRDefault="000D53A9" w:rsidP="00CE3510">
      <w:pPr>
        <w:spacing w:after="0" w:line="240" w:lineRule="auto"/>
        <w:jc w:val="both"/>
      </w:pPr>
    </w:p>
    <w:p w:rsidR="00FB5ED6" w:rsidRDefault="00BF037D" w:rsidP="00A17A70">
      <w:pPr>
        <w:jc w:val="both"/>
      </w:pPr>
      <w:r>
        <w:t xml:space="preserve">The results </w:t>
      </w:r>
      <w:r w:rsidR="00CD509C">
        <w:t>s</w:t>
      </w:r>
      <w:r>
        <w:t>h</w:t>
      </w:r>
      <w:r w:rsidR="00CD509C">
        <w:t>ow</w:t>
      </w:r>
      <w:r>
        <w:t xml:space="preserve"> the following interesting trends:</w:t>
      </w:r>
    </w:p>
    <w:p w:rsidR="00BF037D" w:rsidRDefault="00BF037D" w:rsidP="00CE3510">
      <w:pPr>
        <w:pStyle w:val="ListParagraph"/>
        <w:numPr>
          <w:ilvl w:val="0"/>
          <w:numId w:val="2"/>
        </w:numPr>
        <w:ind w:left="450"/>
        <w:jc w:val="both"/>
      </w:pPr>
      <w:r>
        <w:t xml:space="preserve">In two of the three cities (Ramallah and Nablus), the </w:t>
      </w:r>
      <w:r w:rsidR="00F619A4">
        <w:t xml:space="preserve">unofficial </w:t>
      </w:r>
      <w:r>
        <w:t>Fatah</w:t>
      </w:r>
      <w:r w:rsidR="00CE3510">
        <w:t xml:space="preserve"> list received the most support, while t</w:t>
      </w:r>
      <w:r>
        <w:t>he officially-</w:t>
      </w:r>
      <w:r w:rsidR="00F619A4">
        <w:t>endorsed</w:t>
      </w:r>
      <w:r>
        <w:t xml:space="preserve"> Fatah list is winning in Hebron.</w:t>
      </w:r>
    </w:p>
    <w:p w:rsidR="00BF037D" w:rsidRDefault="005C201F" w:rsidP="00133F01">
      <w:pPr>
        <w:pStyle w:val="ListParagraph"/>
        <w:numPr>
          <w:ilvl w:val="0"/>
          <w:numId w:val="2"/>
        </w:numPr>
        <w:spacing w:after="0"/>
        <w:ind w:left="450"/>
        <w:jc w:val="both"/>
      </w:pPr>
      <w:r>
        <w:t>Approximately</w:t>
      </w:r>
      <w:r w:rsidR="00BF037D">
        <w:t xml:space="preserve"> 22 percent of the votes </w:t>
      </w:r>
      <w:r w:rsidR="00CD509C">
        <w:t xml:space="preserve">in Hebron </w:t>
      </w:r>
      <w:r w:rsidR="0029038A">
        <w:t>(</w:t>
      </w:r>
      <w:r w:rsidR="00133F01">
        <w:t>shaded</w:t>
      </w:r>
      <w:r w:rsidR="0029038A">
        <w:t xml:space="preserve">) </w:t>
      </w:r>
      <w:r w:rsidR="00BF037D">
        <w:t xml:space="preserve">will not be counted as four </w:t>
      </w:r>
      <w:r>
        <w:t xml:space="preserve">lists </w:t>
      </w:r>
      <w:r w:rsidR="00BF037D">
        <w:t xml:space="preserve">might not </w:t>
      </w:r>
      <w:r>
        <w:t>reach the needed minimum threshold (i.e. 8 percent).</w:t>
      </w:r>
    </w:p>
    <w:p w:rsidR="00B60EDC" w:rsidRPr="00F6105B" w:rsidRDefault="00121C3E" w:rsidP="00CE3510">
      <w:pPr>
        <w:pStyle w:val="ecxmsolistparagraph"/>
        <w:numPr>
          <w:ilvl w:val="0"/>
          <w:numId w:val="2"/>
        </w:numPr>
        <w:shd w:val="clear" w:color="auto" w:fill="FFFFFF"/>
        <w:spacing w:after="0" w:line="276" w:lineRule="auto"/>
        <w:ind w:left="450"/>
        <w:jc w:val="both"/>
        <w:rPr>
          <w:rFonts w:asciiTheme="minorHAnsi" w:hAnsiTheme="minorHAnsi" w:cstheme="minorHAnsi"/>
          <w:color w:val="2A2A2A"/>
          <w:sz w:val="22"/>
          <w:szCs w:val="22"/>
        </w:rPr>
      </w:pPr>
      <w:r w:rsidRPr="00121C3E">
        <w:rPr>
          <w:rFonts w:asciiTheme="minorHAnsi" w:hAnsiTheme="minorHAnsi" w:cstheme="minorHAnsi"/>
          <w:color w:val="2A2A2A"/>
          <w:sz w:val="22"/>
          <w:szCs w:val="22"/>
        </w:rPr>
        <w:t>The  exit poll confirms a voting gender gap, where women tend to vote at lower rates, compared to men,</w:t>
      </w:r>
      <w:r w:rsidR="0001233F">
        <w:rPr>
          <w:rFonts w:asciiTheme="minorHAnsi" w:hAnsiTheme="minorHAnsi" w:cstheme="minorHAnsi"/>
          <w:color w:val="2A2A2A"/>
          <w:sz w:val="22"/>
          <w:szCs w:val="22"/>
        </w:rPr>
        <w:t xml:space="preserve"> </w:t>
      </w:r>
      <w:r w:rsidRPr="00121C3E">
        <w:rPr>
          <w:rFonts w:asciiTheme="minorHAnsi" w:hAnsiTheme="minorHAnsi" w:cstheme="minorHAnsi"/>
          <w:color w:val="2A2A2A"/>
          <w:sz w:val="22"/>
          <w:szCs w:val="22"/>
        </w:rPr>
        <w:t>for Fatah lists:</w:t>
      </w:r>
    </w:p>
    <w:p w:rsidR="00E10856" w:rsidRDefault="00121C3E" w:rsidP="00133F01">
      <w:pPr>
        <w:pStyle w:val="ecxmsolistparagraph"/>
        <w:numPr>
          <w:ilvl w:val="0"/>
          <w:numId w:val="4"/>
        </w:numPr>
        <w:shd w:val="clear" w:color="auto" w:fill="FFFFFF"/>
        <w:spacing w:after="0" w:line="276" w:lineRule="auto"/>
        <w:ind w:left="450"/>
        <w:jc w:val="both"/>
        <w:rPr>
          <w:rFonts w:asciiTheme="minorHAnsi" w:hAnsiTheme="minorHAnsi" w:cstheme="minorHAnsi"/>
          <w:sz w:val="22"/>
          <w:szCs w:val="22"/>
        </w:rPr>
      </w:pPr>
      <w:r w:rsidRPr="00121C3E">
        <w:rPr>
          <w:rFonts w:asciiTheme="minorHAnsi" w:hAnsiTheme="minorHAnsi" w:cstheme="minorHAnsi"/>
          <w:color w:val="2A2A2A"/>
          <w:sz w:val="22"/>
          <w:szCs w:val="22"/>
        </w:rPr>
        <w:t xml:space="preserve">Nablus: 62 percent of female voters voted for Nablus </w:t>
      </w:r>
      <w:r w:rsidR="00133F01">
        <w:rPr>
          <w:rFonts w:asciiTheme="minorHAnsi" w:hAnsiTheme="minorHAnsi" w:cstheme="minorHAnsi"/>
          <w:sz w:val="22"/>
          <w:szCs w:val="22"/>
        </w:rPr>
        <w:t>a</w:t>
      </w:r>
      <w:r w:rsidRPr="00A17A70">
        <w:rPr>
          <w:rFonts w:asciiTheme="minorHAnsi" w:hAnsiTheme="minorHAnsi" w:cstheme="minorHAnsi"/>
          <w:sz w:val="22"/>
          <w:szCs w:val="22"/>
        </w:rPr>
        <w:t>l Wataniyah al Mustaqela, while only 26</w:t>
      </w:r>
      <w:r w:rsidR="00A17A70" w:rsidRPr="00A17A70">
        <w:rPr>
          <w:rFonts w:asciiTheme="minorHAnsi" w:hAnsiTheme="minorHAnsi" w:cstheme="minorHAnsi"/>
          <w:sz w:val="22"/>
          <w:szCs w:val="22"/>
        </w:rPr>
        <w:t xml:space="preserve"> percent of them voted for the </w:t>
      </w:r>
      <w:r w:rsidRPr="00A17A70">
        <w:rPr>
          <w:rFonts w:asciiTheme="minorHAnsi" w:hAnsiTheme="minorHAnsi" w:cstheme="minorHAnsi"/>
          <w:sz w:val="22"/>
          <w:szCs w:val="22"/>
        </w:rPr>
        <w:t>official</w:t>
      </w:r>
      <w:r w:rsidR="00A17A70" w:rsidRPr="00A17A70">
        <w:rPr>
          <w:rFonts w:asciiTheme="minorHAnsi" w:hAnsiTheme="minorHAnsi" w:cstheme="minorHAnsi"/>
          <w:sz w:val="22"/>
          <w:szCs w:val="22"/>
        </w:rPr>
        <w:t xml:space="preserve"> </w:t>
      </w:r>
      <w:r w:rsidRPr="00A17A70">
        <w:rPr>
          <w:rFonts w:asciiTheme="minorHAnsi" w:hAnsiTheme="minorHAnsi" w:cstheme="minorHAnsi"/>
          <w:sz w:val="22"/>
          <w:szCs w:val="22"/>
        </w:rPr>
        <w:t>Fatah list. In contrast, 53 percent of male voters voted for the official Fatah list and 41 percent voted for</w:t>
      </w:r>
      <w:r w:rsidR="00133F01">
        <w:rPr>
          <w:rFonts w:asciiTheme="minorHAnsi" w:hAnsiTheme="minorHAnsi" w:cstheme="minorHAnsi"/>
          <w:sz w:val="22"/>
          <w:szCs w:val="22"/>
        </w:rPr>
        <w:t xml:space="preserve"> Nablus</w:t>
      </w:r>
      <w:r w:rsidRPr="00A17A70">
        <w:rPr>
          <w:rFonts w:asciiTheme="minorHAnsi" w:hAnsiTheme="minorHAnsi" w:cstheme="minorHAnsi"/>
          <w:sz w:val="22"/>
          <w:szCs w:val="22"/>
        </w:rPr>
        <w:t xml:space="preserve"> </w:t>
      </w:r>
      <w:r w:rsidR="00133F01">
        <w:rPr>
          <w:rFonts w:asciiTheme="minorHAnsi" w:hAnsiTheme="minorHAnsi" w:cstheme="minorHAnsi"/>
          <w:sz w:val="22"/>
          <w:szCs w:val="22"/>
        </w:rPr>
        <w:t>a</w:t>
      </w:r>
      <w:r w:rsidRPr="00A17A70">
        <w:rPr>
          <w:rFonts w:asciiTheme="minorHAnsi" w:hAnsiTheme="minorHAnsi" w:cstheme="minorHAnsi"/>
          <w:sz w:val="22"/>
          <w:szCs w:val="22"/>
        </w:rPr>
        <w:t>l Wataniyah al Mustaqela.</w:t>
      </w:r>
    </w:p>
    <w:p w:rsidR="00A17A70" w:rsidRPr="00A17A70" w:rsidRDefault="00121C3E" w:rsidP="00CE3510">
      <w:pPr>
        <w:pStyle w:val="ecxmsolistparagraph"/>
        <w:numPr>
          <w:ilvl w:val="0"/>
          <w:numId w:val="4"/>
        </w:numPr>
        <w:shd w:val="clear" w:color="auto" w:fill="FFFFFF"/>
        <w:spacing w:after="0" w:line="276" w:lineRule="auto"/>
        <w:ind w:left="450"/>
        <w:jc w:val="both"/>
        <w:rPr>
          <w:rFonts w:asciiTheme="minorHAnsi" w:hAnsiTheme="minorHAnsi" w:cstheme="minorHAnsi"/>
          <w:sz w:val="22"/>
          <w:szCs w:val="22"/>
        </w:rPr>
      </w:pPr>
      <w:r w:rsidRPr="00A17A70">
        <w:rPr>
          <w:rFonts w:asciiTheme="minorHAnsi" w:hAnsiTheme="minorHAnsi" w:cstheme="minorHAnsi"/>
          <w:sz w:val="22"/>
          <w:szCs w:val="22"/>
        </w:rPr>
        <w:t>Ramallah: women voted at a higher rate for Ramallah al Mustaqbal than men. 45 percent of female voters voted for Ramallah al Mustaqbal, while 35 percent of them voted for Abna’al Balad. In contrast, 61 percent of the male voters voted for Abna’al Balad and only 26 percent of them voted for Ramallah al Mustaqbal.</w:t>
      </w:r>
    </w:p>
    <w:p w:rsidR="0029038A" w:rsidRDefault="00121C3E" w:rsidP="00CE3510">
      <w:pPr>
        <w:pStyle w:val="ListParagraph"/>
        <w:numPr>
          <w:ilvl w:val="0"/>
          <w:numId w:val="2"/>
        </w:numPr>
        <w:spacing w:after="0"/>
        <w:ind w:left="450"/>
        <w:jc w:val="both"/>
        <w:rPr>
          <w:rFonts w:cstheme="minorHAnsi"/>
        </w:rPr>
      </w:pPr>
      <w:r w:rsidRPr="00A17A70">
        <w:rPr>
          <w:rFonts w:cstheme="minorHAnsi"/>
        </w:rPr>
        <w:t xml:space="preserve">Age is also important, where younger (18-30) and older (over 50 years) voters voted at higher rates for Nablus al Wataniyah al Mustaqela, while </w:t>
      </w:r>
      <w:bookmarkStart w:id="0" w:name="_GoBack"/>
      <w:r w:rsidRPr="00A17A70">
        <w:rPr>
          <w:rFonts w:cstheme="minorHAnsi"/>
        </w:rPr>
        <w:t xml:space="preserve">middle age </w:t>
      </w:r>
      <w:bookmarkEnd w:id="0"/>
      <w:r w:rsidRPr="00A17A70">
        <w:rPr>
          <w:rFonts w:cstheme="minorHAnsi"/>
        </w:rPr>
        <w:t>voters  (31-49) tended to vote for the official Fatah list. In Hebron, voting for the Fatah list dec</w:t>
      </w:r>
      <w:r w:rsidR="00236159" w:rsidRPr="00A17A70">
        <w:rPr>
          <w:rFonts w:cstheme="minorHAnsi"/>
        </w:rPr>
        <w:t>reased</w:t>
      </w:r>
      <w:r w:rsidRPr="00A17A70">
        <w:rPr>
          <w:rFonts w:cstheme="minorHAnsi"/>
        </w:rPr>
        <w:t xml:space="preserve"> with age.</w:t>
      </w:r>
    </w:p>
    <w:p w:rsidR="00AD7D53" w:rsidRDefault="00AD7D53" w:rsidP="00AD7D53">
      <w:pPr>
        <w:spacing w:after="0"/>
        <w:jc w:val="both"/>
        <w:rPr>
          <w:rFonts w:cstheme="minorHAnsi"/>
        </w:rPr>
      </w:pPr>
    </w:p>
    <w:p w:rsidR="00AD7D53" w:rsidRPr="00AD7D53" w:rsidRDefault="00AD7D53" w:rsidP="00AD7D53">
      <w:pPr>
        <w:spacing w:after="0"/>
        <w:jc w:val="both"/>
        <w:rPr>
          <w:rFonts w:cstheme="minorHAnsi"/>
          <w:b/>
          <w:bCs/>
          <w:sz w:val="24"/>
          <w:szCs w:val="24"/>
        </w:rPr>
      </w:pPr>
      <w:r w:rsidRPr="00AD7D53">
        <w:rPr>
          <w:rFonts w:cstheme="minorHAnsi"/>
          <w:b/>
          <w:bCs/>
          <w:sz w:val="24"/>
          <w:szCs w:val="24"/>
        </w:rPr>
        <w:t xml:space="preserve">Please join us on FaceBook (ArabWorld or AWRAD), our website: </w:t>
      </w:r>
      <w:hyperlink r:id="rId8" w:history="1">
        <w:r w:rsidRPr="00AD7D53">
          <w:rPr>
            <w:rStyle w:val="Hyperlink"/>
            <w:rFonts w:cstheme="minorHAnsi"/>
            <w:b/>
            <w:bCs/>
            <w:sz w:val="24"/>
            <w:szCs w:val="24"/>
          </w:rPr>
          <w:t>www.awrad.org</w:t>
        </w:r>
      </w:hyperlink>
      <w:r w:rsidRPr="00AD7D53">
        <w:rPr>
          <w:rFonts w:cstheme="minorHAnsi"/>
          <w:b/>
          <w:bCs/>
          <w:sz w:val="24"/>
          <w:szCs w:val="24"/>
        </w:rPr>
        <w:t>; call us at 02-2950957.</w:t>
      </w:r>
    </w:p>
    <w:sectPr w:rsidR="00AD7D53" w:rsidRPr="00AD7D53" w:rsidSect="007B0BC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EF" w:rsidRDefault="00B472EF" w:rsidP="00BB75EE">
      <w:pPr>
        <w:spacing w:after="0" w:line="240" w:lineRule="auto"/>
      </w:pPr>
      <w:r>
        <w:separator/>
      </w:r>
    </w:p>
  </w:endnote>
  <w:endnote w:type="continuationSeparator" w:id="1">
    <w:p w:rsidR="00B472EF" w:rsidRDefault="00B472EF" w:rsidP="00BB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8773"/>
      <w:docPartObj>
        <w:docPartGallery w:val="Page Numbers (Bottom of Page)"/>
        <w:docPartUnique/>
      </w:docPartObj>
    </w:sdtPr>
    <w:sdtContent>
      <w:p w:rsidR="00BB75EE" w:rsidRDefault="008C1F01">
        <w:pPr>
          <w:pStyle w:val="Footer"/>
        </w:pPr>
        <w:fldSimple w:instr=" PAGE   \* MERGEFORMAT ">
          <w:r w:rsidR="00C16A08">
            <w:rPr>
              <w:noProof/>
            </w:rPr>
            <w:t>4</w:t>
          </w:r>
        </w:fldSimple>
      </w:p>
    </w:sdtContent>
  </w:sdt>
  <w:p w:rsidR="00BB75EE" w:rsidRDefault="00BB7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EF" w:rsidRDefault="00B472EF" w:rsidP="00BB75EE">
      <w:pPr>
        <w:spacing w:after="0" w:line="240" w:lineRule="auto"/>
      </w:pPr>
      <w:r>
        <w:separator/>
      </w:r>
    </w:p>
  </w:footnote>
  <w:footnote w:type="continuationSeparator" w:id="1">
    <w:p w:rsidR="00B472EF" w:rsidRDefault="00B472EF" w:rsidP="00BB7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2F"/>
    <w:multiLevelType w:val="hybridMultilevel"/>
    <w:tmpl w:val="34B43CF4"/>
    <w:lvl w:ilvl="0" w:tplc="AE742A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D0E67"/>
    <w:multiLevelType w:val="hybridMultilevel"/>
    <w:tmpl w:val="39920622"/>
    <w:lvl w:ilvl="0" w:tplc="A7D65116">
      <w:start w:val="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0040C"/>
    <w:multiLevelType w:val="hybridMultilevel"/>
    <w:tmpl w:val="DAD493F6"/>
    <w:lvl w:ilvl="0" w:tplc="079E8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C320F"/>
    <w:multiLevelType w:val="hybridMultilevel"/>
    <w:tmpl w:val="9EB625E6"/>
    <w:lvl w:ilvl="0" w:tplc="5D38A5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E441B"/>
    <w:rsid w:val="0001233F"/>
    <w:rsid w:val="0002435C"/>
    <w:rsid w:val="00034E76"/>
    <w:rsid w:val="00095570"/>
    <w:rsid w:val="000D53A9"/>
    <w:rsid w:val="000E7296"/>
    <w:rsid w:val="00100822"/>
    <w:rsid w:val="00121C3E"/>
    <w:rsid w:val="00133F01"/>
    <w:rsid w:val="001B6B11"/>
    <w:rsid w:val="001D2699"/>
    <w:rsid w:val="00236159"/>
    <w:rsid w:val="00266B10"/>
    <w:rsid w:val="0029038A"/>
    <w:rsid w:val="00292047"/>
    <w:rsid w:val="002B00F3"/>
    <w:rsid w:val="002B4A09"/>
    <w:rsid w:val="003F1D61"/>
    <w:rsid w:val="00430772"/>
    <w:rsid w:val="004613EE"/>
    <w:rsid w:val="00492AC6"/>
    <w:rsid w:val="004C6A45"/>
    <w:rsid w:val="004D20E9"/>
    <w:rsid w:val="00505F49"/>
    <w:rsid w:val="005C201F"/>
    <w:rsid w:val="0062431E"/>
    <w:rsid w:val="00696A33"/>
    <w:rsid w:val="0069719F"/>
    <w:rsid w:val="006A7CBE"/>
    <w:rsid w:val="006B2294"/>
    <w:rsid w:val="006E060C"/>
    <w:rsid w:val="006E441B"/>
    <w:rsid w:val="006E7045"/>
    <w:rsid w:val="00761A3B"/>
    <w:rsid w:val="007B0BCB"/>
    <w:rsid w:val="007F28D8"/>
    <w:rsid w:val="0081640E"/>
    <w:rsid w:val="00871DC5"/>
    <w:rsid w:val="00894212"/>
    <w:rsid w:val="008C1F01"/>
    <w:rsid w:val="008D170E"/>
    <w:rsid w:val="008E0AEC"/>
    <w:rsid w:val="00A17A70"/>
    <w:rsid w:val="00A2232B"/>
    <w:rsid w:val="00A67C63"/>
    <w:rsid w:val="00A703A6"/>
    <w:rsid w:val="00AC2787"/>
    <w:rsid w:val="00AD0B6D"/>
    <w:rsid w:val="00AD7D53"/>
    <w:rsid w:val="00B472EF"/>
    <w:rsid w:val="00B511D7"/>
    <w:rsid w:val="00B60EDC"/>
    <w:rsid w:val="00B63D80"/>
    <w:rsid w:val="00B96775"/>
    <w:rsid w:val="00BB75EE"/>
    <w:rsid w:val="00BE756A"/>
    <w:rsid w:val="00BF037D"/>
    <w:rsid w:val="00BF064A"/>
    <w:rsid w:val="00C14E5C"/>
    <w:rsid w:val="00C16A08"/>
    <w:rsid w:val="00C969CB"/>
    <w:rsid w:val="00CA7B6C"/>
    <w:rsid w:val="00CD509C"/>
    <w:rsid w:val="00CE3510"/>
    <w:rsid w:val="00D406C9"/>
    <w:rsid w:val="00D40F1A"/>
    <w:rsid w:val="00D92972"/>
    <w:rsid w:val="00E10856"/>
    <w:rsid w:val="00E16CF6"/>
    <w:rsid w:val="00E17BC2"/>
    <w:rsid w:val="00E40144"/>
    <w:rsid w:val="00E821A1"/>
    <w:rsid w:val="00F2531B"/>
    <w:rsid w:val="00F52236"/>
    <w:rsid w:val="00F6105B"/>
    <w:rsid w:val="00F619A4"/>
    <w:rsid w:val="00F85519"/>
    <w:rsid w:val="00FB5E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D6"/>
    <w:pPr>
      <w:ind w:left="720"/>
      <w:contextualSpacing/>
    </w:pPr>
  </w:style>
  <w:style w:type="table" w:styleId="TableGrid">
    <w:name w:val="Table Grid"/>
    <w:basedOn w:val="TableNormal"/>
    <w:uiPriority w:val="59"/>
    <w:rsid w:val="000D5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7BC2"/>
    <w:rPr>
      <w:sz w:val="16"/>
      <w:szCs w:val="16"/>
    </w:rPr>
  </w:style>
  <w:style w:type="paragraph" w:styleId="CommentText">
    <w:name w:val="annotation text"/>
    <w:basedOn w:val="Normal"/>
    <w:link w:val="CommentTextChar"/>
    <w:uiPriority w:val="99"/>
    <w:semiHidden/>
    <w:unhideWhenUsed/>
    <w:rsid w:val="00E17BC2"/>
    <w:pPr>
      <w:spacing w:line="240" w:lineRule="auto"/>
    </w:pPr>
    <w:rPr>
      <w:sz w:val="20"/>
      <w:szCs w:val="20"/>
    </w:rPr>
  </w:style>
  <w:style w:type="character" w:customStyle="1" w:styleId="CommentTextChar">
    <w:name w:val="Comment Text Char"/>
    <w:basedOn w:val="DefaultParagraphFont"/>
    <w:link w:val="CommentText"/>
    <w:uiPriority w:val="99"/>
    <w:semiHidden/>
    <w:rsid w:val="00E17BC2"/>
    <w:rPr>
      <w:sz w:val="20"/>
      <w:szCs w:val="20"/>
    </w:rPr>
  </w:style>
  <w:style w:type="paragraph" w:styleId="CommentSubject">
    <w:name w:val="annotation subject"/>
    <w:basedOn w:val="CommentText"/>
    <w:next w:val="CommentText"/>
    <w:link w:val="CommentSubjectChar"/>
    <w:uiPriority w:val="99"/>
    <w:semiHidden/>
    <w:unhideWhenUsed/>
    <w:rsid w:val="00E17BC2"/>
    <w:rPr>
      <w:b/>
      <w:bCs/>
    </w:rPr>
  </w:style>
  <w:style w:type="character" w:customStyle="1" w:styleId="CommentSubjectChar">
    <w:name w:val="Comment Subject Char"/>
    <w:basedOn w:val="CommentTextChar"/>
    <w:link w:val="CommentSubject"/>
    <w:uiPriority w:val="99"/>
    <w:semiHidden/>
    <w:rsid w:val="00E17BC2"/>
    <w:rPr>
      <w:b/>
      <w:bCs/>
      <w:sz w:val="20"/>
      <w:szCs w:val="20"/>
    </w:rPr>
  </w:style>
  <w:style w:type="paragraph" w:styleId="BalloonText">
    <w:name w:val="Balloon Text"/>
    <w:basedOn w:val="Normal"/>
    <w:link w:val="BalloonTextChar"/>
    <w:uiPriority w:val="99"/>
    <w:semiHidden/>
    <w:unhideWhenUsed/>
    <w:rsid w:val="00E1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C2"/>
    <w:rPr>
      <w:rFonts w:ascii="Tahoma" w:hAnsi="Tahoma" w:cs="Tahoma"/>
      <w:sz w:val="16"/>
      <w:szCs w:val="16"/>
    </w:rPr>
  </w:style>
  <w:style w:type="paragraph" w:customStyle="1" w:styleId="ecxmsolistparagraph">
    <w:name w:val="ecxmsolistparagraph"/>
    <w:basedOn w:val="Normal"/>
    <w:rsid w:val="00B60EDC"/>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D53"/>
    <w:rPr>
      <w:color w:val="0000FF" w:themeColor="hyperlink"/>
      <w:u w:val="single"/>
    </w:rPr>
  </w:style>
  <w:style w:type="paragraph" w:styleId="Header">
    <w:name w:val="header"/>
    <w:basedOn w:val="Normal"/>
    <w:link w:val="HeaderChar"/>
    <w:uiPriority w:val="99"/>
    <w:semiHidden/>
    <w:unhideWhenUsed/>
    <w:rsid w:val="00BB7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75EE"/>
  </w:style>
  <w:style w:type="paragraph" w:styleId="Footer">
    <w:name w:val="footer"/>
    <w:basedOn w:val="Normal"/>
    <w:link w:val="FooterChar"/>
    <w:uiPriority w:val="99"/>
    <w:unhideWhenUsed/>
    <w:rsid w:val="00BB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D6"/>
    <w:pPr>
      <w:ind w:left="720"/>
      <w:contextualSpacing/>
    </w:pPr>
  </w:style>
  <w:style w:type="table" w:styleId="TableGrid">
    <w:name w:val="Table Grid"/>
    <w:basedOn w:val="TableNormal"/>
    <w:uiPriority w:val="59"/>
    <w:rsid w:val="000D5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7BC2"/>
    <w:rPr>
      <w:sz w:val="16"/>
      <w:szCs w:val="16"/>
    </w:rPr>
  </w:style>
  <w:style w:type="paragraph" w:styleId="CommentText">
    <w:name w:val="annotation text"/>
    <w:basedOn w:val="Normal"/>
    <w:link w:val="CommentTextChar"/>
    <w:uiPriority w:val="99"/>
    <w:semiHidden/>
    <w:unhideWhenUsed/>
    <w:rsid w:val="00E17BC2"/>
    <w:pPr>
      <w:spacing w:line="240" w:lineRule="auto"/>
    </w:pPr>
    <w:rPr>
      <w:sz w:val="20"/>
      <w:szCs w:val="20"/>
    </w:rPr>
  </w:style>
  <w:style w:type="character" w:customStyle="1" w:styleId="CommentTextChar">
    <w:name w:val="Comment Text Char"/>
    <w:basedOn w:val="DefaultParagraphFont"/>
    <w:link w:val="CommentText"/>
    <w:uiPriority w:val="99"/>
    <w:semiHidden/>
    <w:rsid w:val="00E17BC2"/>
    <w:rPr>
      <w:sz w:val="20"/>
      <w:szCs w:val="20"/>
    </w:rPr>
  </w:style>
  <w:style w:type="paragraph" w:styleId="CommentSubject">
    <w:name w:val="annotation subject"/>
    <w:basedOn w:val="CommentText"/>
    <w:next w:val="CommentText"/>
    <w:link w:val="CommentSubjectChar"/>
    <w:uiPriority w:val="99"/>
    <w:semiHidden/>
    <w:unhideWhenUsed/>
    <w:rsid w:val="00E17BC2"/>
    <w:rPr>
      <w:b/>
      <w:bCs/>
    </w:rPr>
  </w:style>
  <w:style w:type="character" w:customStyle="1" w:styleId="CommentSubjectChar">
    <w:name w:val="Comment Subject Char"/>
    <w:basedOn w:val="CommentTextChar"/>
    <w:link w:val="CommentSubject"/>
    <w:uiPriority w:val="99"/>
    <w:semiHidden/>
    <w:rsid w:val="00E17BC2"/>
    <w:rPr>
      <w:b/>
      <w:bCs/>
      <w:sz w:val="20"/>
      <w:szCs w:val="20"/>
    </w:rPr>
  </w:style>
  <w:style w:type="paragraph" w:styleId="BalloonText">
    <w:name w:val="Balloon Text"/>
    <w:basedOn w:val="Normal"/>
    <w:link w:val="BalloonTextChar"/>
    <w:uiPriority w:val="99"/>
    <w:semiHidden/>
    <w:unhideWhenUsed/>
    <w:rsid w:val="00E1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C2"/>
    <w:rPr>
      <w:rFonts w:ascii="Tahoma" w:hAnsi="Tahoma" w:cs="Tahoma"/>
      <w:sz w:val="16"/>
      <w:szCs w:val="16"/>
    </w:rPr>
  </w:style>
  <w:style w:type="paragraph" w:customStyle="1" w:styleId="ecxmsolistparagraph">
    <w:name w:val="ecxmsolistparagraph"/>
    <w:basedOn w:val="Normal"/>
    <w:rsid w:val="00B60EDC"/>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472663">
      <w:bodyDiv w:val="1"/>
      <w:marLeft w:val="0"/>
      <w:marRight w:val="0"/>
      <w:marTop w:val="0"/>
      <w:marBottom w:val="0"/>
      <w:divBdr>
        <w:top w:val="none" w:sz="0" w:space="0" w:color="auto"/>
        <w:left w:val="none" w:sz="0" w:space="0" w:color="auto"/>
        <w:bottom w:val="none" w:sz="0" w:space="0" w:color="auto"/>
        <w:right w:val="none" w:sz="0" w:space="0" w:color="auto"/>
      </w:divBdr>
      <w:divsChild>
        <w:div w:id="891885494">
          <w:marLeft w:val="0"/>
          <w:marRight w:val="0"/>
          <w:marTop w:val="0"/>
          <w:marBottom w:val="0"/>
          <w:divBdr>
            <w:top w:val="none" w:sz="0" w:space="0" w:color="auto"/>
            <w:left w:val="none" w:sz="0" w:space="0" w:color="auto"/>
            <w:bottom w:val="none" w:sz="0" w:space="0" w:color="auto"/>
            <w:right w:val="none" w:sz="0" w:space="0" w:color="auto"/>
          </w:divBdr>
          <w:divsChild>
            <w:div w:id="2033914959">
              <w:marLeft w:val="0"/>
              <w:marRight w:val="0"/>
              <w:marTop w:val="0"/>
              <w:marBottom w:val="0"/>
              <w:divBdr>
                <w:top w:val="none" w:sz="0" w:space="0" w:color="auto"/>
                <w:left w:val="none" w:sz="0" w:space="0" w:color="auto"/>
                <w:bottom w:val="none" w:sz="0" w:space="0" w:color="auto"/>
                <w:right w:val="none" w:sz="0" w:space="0" w:color="auto"/>
              </w:divBdr>
              <w:divsChild>
                <w:div w:id="1358651702">
                  <w:marLeft w:val="0"/>
                  <w:marRight w:val="0"/>
                  <w:marTop w:val="0"/>
                  <w:marBottom w:val="0"/>
                  <w:divBdr>
                    <w:top w:val="none" w:sz="0" w:space="0" w:color="auto"/>
                    <w:left w:val="none" w:sz="0" w:space="0" w:color="auto"/>
                    <w:bottom w:val="none" w:sz="0" w:space="0" w:color="auto"/>
                    <w:right w:val="none" w:sz="0" w:space="0" w:color="auto"/>
                  </w:divBdr>
                  <w:divsChild>
                    <w:div w:id="1599751598">
                      <w:marLeft w:val="0"/>
                      <w:marRight w:val="0"/>
                      <w:marTop w:val="0"/>
                      <w:marBottom w:val="0"/>
                      <w:divBdr>
                        <w:top w:val="none" w:sz="0" w:space="0" w:color="auto"/>
                        <w:left w:val="none" w:sz="0" w:space="0" w:color="auto"/>
                        <w:bottom w:val="none" w:sz="0" w:space="0" w:color="auto"/>
                        <w:right w:val="none" w:sz="0" w:space="0" w:color="auto"/>
                      </w:divBdr>
                      <w:divsChild>
                        <w:div w:id="1322006467">
                          <w:marLeft w:val="0"/>
                          <w:marRight w:val="0"/>
                          <w:marTop w:val="0"/>
                          <w:marBottom w:val="0"/>
                          <w:divBdr>
                            <w:top w:val="none" w:sz="0" w:space="0" w:color="auto"/>
                            <w:left w:val="none" w:sz="0" w:space="0" w:color="auto"/>
                            <w:bottom w:val="none" w:sz="0" w:space="0" w:color="auto"/>
                            <w:right w:val="none" w:sz="0" w:space="0" w:color="auto"/>
                          </w:divBdr>
                          <w:divsChild>
                            <w:div w:id="461729008">
                              <w:marLeft w:val="0"/>
                              <w:marRight w:val="0"/>
                              <w:marTop w:val="0"/>
                              <w:marBottom w:val="0"/>
                              <w:divBdr>
                                <w:top w:val="none" w:sz="0" w:space="0" w:color="auto"/>
                                <w:left w:val="none" w:sz="0" w:space="0" w:color="auto"/>
                                <w:bottom w:val="none" w:sz="0" w:space="0" w:color="auto"/>
                                <w:right w:val="none" w:sz="0" w:space="0" w:color="auto"/>
                              </w:divBdr>
                              <w:divsChild>
                                <w:div w:id="583950026">
                                  <w:marLeft w:val="0"/>
                                  <w:marRight w:val="0"/>
                                  <w:marTop w:val="0"/>
                                  <w:marBottom w:val="0"/>
                                  <w:divBdr>
                                    <w:top w:val="none" w:sz="0" w:space="0" w:color="auto"/>
                                    <w:left w:val="none" w:sz="0" w:space="0" w:color="auto"/>
                                    <w:bottom w:val="none" w:sz="0" w:space="0" w:color="auto"/>
                                    <w:right w:val="none" w:sz="0" w:space="0" w:color="auto"/>
                                  </w:divBdr>
                                  <w:divsChild>
                                    <w:div w:id="996494222">
                                      <w:marLeft w:val="0"/>
                                      <w:marRight w:val="0"/>
                                      <w:marTop w:val="0"/>
                                      <w:marBottom w:val="0"/>
                                      <w:divBdr>
                                        <w:top w:val="none" w:sz="0" w:space="0" w:color="auto"/>
                                        <w:left w:val="none" w:sz="0" w:space="0" w:color="auto"/>
                                        <w:bottom w:val="none" w:sz="0" w:space="0" w:color="auto"/>
                                        <w:right w:val="none" w:sz="0" w:space="0" w:color="auto"/>
                                      </w:divBdr>
                                      <w:divsChild>
                                        <w:div w:id="1862622946">
                                          <w:marLeft w:val="0"/>
                                          <w:marRight w:val="0"/>
                                          <w:marTop w:val="0"/>
                                          <w:marBottom w:val="0"/>
                                          <w:divBdr>
                                            <w:top w:val="none" w:sz="0" w:space="0" w:color="auto"/>
                                            <w:left w:val="none" w:sz="0" w:space="0" w:color="auto"/>
                                            <w:bottom w:val="none" w:sz="0" w:space="0" w:color="auto"/>
                                            <w:right w:val="none" w:sz="0" w:space="0" w:color="auto"/>
                                          </w:divBdr>
                                          <w:divsChild>
                                            <w:div w:id="1491366539">
                                              <w:marLeft w:val="0"/>
                                              <w:marRight w:val="0"/>
                                              <w:marTop w:val="0"/>
                                              <w:marBottom w:val="0"/>
                                              <w:divBdr>
                                                <w:top w:val="none" w:sz="0" w:space="0" w:color="auto"/>
                                                <w:left w:val="none" w:sz="0" w:space="0" w:color="auto"/>
                                                <w:bottom w:val="none" w:sz="0" w:space="0" w:color="auto"/>
                                                <w:right w:val="none" w:sz="0" w:space="0" w:color="auto"/>
                                              </w:divBdr>
                                              <w:divsChild>
                                                <w:div w:id="286199351">
                                                  <w:marLeft w:val="0"/>
                                                  <w:marRight w:val="90"/>
                                                  <w:marTop w:val="0"/>
                                                  <w:marBottom w:val="0"/>
                                                  <w:divBdr>
                                                    <w:top w:val="none" w:sz="0" w:space="0" w:color="auto"/>
                                                    <w:left w:val="none" w:sz="0" w:space="0" w:color="auto"/>
                                                    <w:bottom w:val="none" w:sz="0" w:space="0" w:color="auto"/>
                                                    <w:right w:val="none" w:sz="0" w:space="0" w:color="auto"/>
                                                  </w:divBdr>
                                                  <w:divsChild>
                                                    <w:div w:id="116341384">
                                                      <w:marLeft w:val="0"/>
                                                      <w:marRight w:val="0"/>
                                                      <w:marTop w:val="0"/>
                                                      <w:marBottom w:val="0"/>
                                                      <w:divBdr>
                                                        <w:top w:val="none" w:sz="0" w:space="0" w:color="auto"/>
                                                        <w:left w:val="none" w:sz="0" w:space="0" w:color="auto"/>
                                                        <w:bottom w:val="none" w:sz="0" w:space="0" w:color="auto"/>
                                                        <w:right w:val="none" w:sz="0" w:space="0" w:color="auto"/>
                                                      </w:divBdr>
                                                      <w:divsChild>
                                                        <w:div w:id="1699699742">
                                                          <w:marLeft w:val="0"/>
                                                          <w:marRight w:val="0"/>
                                                          <w:marTop w:val="0"/>
                                                          <w:marBottom w:val="0"/>
                                                          <w:divBdr>
                                                            <w:top w:val="none" w:sz="0" w:space="0" w:color="auto"/>
                                                            <w:left w:val="none" w:sz="0" w:space="0" w:color="auto"/>
                                                            <w:bottom w:val="none" w:sz="0" w:space="0" w:color="auto"/>
                                                            <w:right w:val="none" w:sz="0" w:space="0" w:color="auto"/>
                                                          </w:divBdr>
                                                          <w:divsChild>
                                                            <w:div w:id="1048260170">
                                                              <w:marLeft w:val="0"/>
                                                              <w:marRight w:val="0"/>
                                                              <w:marTop w:val="0"/>
                                                              <w:marBottom w:val="0"/>
                                                              <w:divBdr>
                                                                <w:top w:val="none" w:sz="0" w:space="0" w:color="auto"/>
                                                                <w:left w:val="none" w:sz="0" w:space="0" w:color="auto"/>
                                                                <w:bottom w:val="none" w:sz="0" w:space="0" w:color="auto"/>
                                                                <w:right w:val="none" w:sz="0" w:space="0" w:color="auto"/>
                                                              </w:divBdr>
                                                              <w:divsChild>
                                                                <w:div w:id="1782722338">
                                                                  <w:marLeft w:val="0"/>
                                                                  <w:marRight w:val="0"/>
                                                                  <w:marTop w:val="0"/>
                                                                  <w:marBottom w:val="105"/>
                                                                  <w:divBdr>
                                                                    <w:top w:val="single" w:sz="6" w:space="0" w:color="EDEDED"/>
                                                                    <w:left w:val="single" w:sz="6" w:space="0" w:color="EDEDED"/>
                                                                    <w:bottom w:val="single" w:sz="6" w:space="0" w:color="EDEDED"/>
                                                                    <w:right w:val="single" w:sz="6" w:space="0" w:color="EDEDED"/>
                                                                  </w:divBdr>
                                                                  <w:divsChild>
                                                                    <w:div w:id="1153254174">
                                                                      <w:marLeft w:val="0"/>
                                                                      <w:marRight w:val="0"/>
                                                                      <w:marTop w:val="0"/>
                                                                      <w:marBottom w:val="0"/>
                                                                      <w:divBdr>
                                                                        <w:top w:val="none" w:sz="0" w:space="0" w:color="auto"/>
                                                                        <w:left w:val="none" w:sz="0" w:space="0" w:color="auto"/>
                                                                        <w:bottom w:val="none" w:sz="0" w:space="0" w:color="auto"/>
                                                                        <w:right w:val="none" w:sz="0" w:space="0" w:color="auto"/>
                                                                      </w:divBdr>
                                                                      <w:divsChild>
                                                                        <w:div w:id="487672022">
                                                                          <w:marLeft w:val="0"/>
                                                                          <w:marRight w:val="0"/>
                                                                          <w:marTop w:val="0"/>
                                                                          <w:marBottom w:val="0"/>
                                                                          <w:divBdr>
                                                                            <w:top w:val="none" w:sz="0" w:space="0" w:color="auto"/>
                                                                            <w:left w:val="none" w:sz="0" w:space="0" w:color="auto"/>
                                                                            <w:bottom w:val="none" w:sz="0" w:space="0" w:color="auto"/>
                                                                            <w:right w:val="none" w:sz="0" w:space="0" w:color="auto"/>
                                                                          </w:divBdr>
                                                                          <w:divsChild>
                                                                            <w:div w:id="444661861">
                                                                              <w:marLeft w:val="0"/>
                                                                              <w:marRight w:val="0"/>
                                                                              <w:marTop w:val="0"/>
                                                                              <w:marBottom w:val="0"/>
                                                                              <w:divBdr>
                                                                                <w:top w:val="none" w:sz="0" w:space="0" w:color="auto"/>
                                                                                <w:left w:val="none" w:sz="0" w:space="0" w:color="auto"/>
                                                                                <w:bottom w:val="none" w:sz="0" w:space="0" w:color="auto"/>
                                                                                <w:right w:val="none" w:sz="0" w:space="0" w:color="auto"/>
                                                                              </w:divBdr>
                                                                              <w:divsChild>
                                                                                <w:div w:id="1807118831">
                                                                                  <w:marLeft w:val="180"/>
                                                                                  <w:marRight w:val="180"/>
                                                                                  <w:marTop w:val="0"/>
                                                                                  <w:marBottom w:val="0"/>
                                                                                  <w:divBdr>
                                                                                    <w:top w:val="none" w:sz="0" w:space="0" w:color="auto"/>
                                                                                    <w:left w:val="none" w:sz="0" w:space="0" w:color="auto"/>
                                                                                    <w:bottom w:val="none" w:sz="0" w:space="0" w:color="auto"/>
                                                                                    <w:right w:val="none" w:sz="0" w:space="0" w:color="auto"/>
                                                                                  </w:divBdr>
                                                                                  <w:divsChild>
                                                                                    <w:div w:id="1906838692">
                                                                                      <w:marLeft w:val="0"/>
                                                                                      <w:marRight w:val="0"/>
                                                                                      <w:marTop w:val="0"/>
                                                                                      <w:marBottom w:val="0"/>
                                                                                      <w:divBdr>
                                                                                        <w:top w:val="none" w:sz="0" w:space="0" w:color="auto"/>
                                                                                        <w:left w:val="none" w:sz="0" w:space="0" w:color="auto"/>
                                                                                        <w:bottom w:val="none" w:sz="0" w:space="0" w:color="auto"/>
                                                                                        <w:right w:val="none" w:sz="0" w:space="0" w:color="auto"/>
                                                                                      </w:divBdr>
                                                                                      <w:divsChild>
                                                                                        <w:div w:id="808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93686">
      <w:bodyDiv w:val="1"/>
      <w:marLeft w:val="0"/>
      <w:marRight w:val="0"/>
      <w:marTop w:val="0"/>
      <w:marBottom w:val="0"/>
      <w:divBdr>
        <w:top w:val="none" w:sz="0" w:space="0" w:color="auto"/>
        <w:left w:val="none" w:sz="0" w:space="0" w:color="auto"/>
        <w:bottom w:val="none" w:sz="0" w:space="0" w:color="auto"/>
        <w:right w:val="none" w:sz="0" w:space="0" w:color="auto"/>
      </w:divBdr>
      <w:divsChild>
        <w:div w:id="987586045">
          <w:marLeft w:val="0"/>
          <w:marRight w:val="0"/>
          <w:marTop w:val="0"/>
          <w:marBottom w:val="0"/>
          <w:divBdr>
            <w:top w:val="none" w:sz="0" w:space="0" w:color="auto"/>
            <w:left w:val="none" w:sz="0" w:space="0" w:color="auto"/>
            <w:bottom w:val="none" w:sz="0" w:space="0" w:color="auto"/>
            <w:right w:val="none" w:sz="0" w:space="0" w:color="auto"/>
          </w:divBdr>
          <w:divsChild>
            <w:div w:id="573316289">
              <w:marLeft w:val="0"/>
              <w:marRight w:val="0"/>
              <w:marTop w:val="0"/>
              <w:marBottom w:val="0"/>
              <w:divBdr>
                <w:top w:val="none" w:sz="0" w:space="0" w:color="auto"/>
                <w:left w:val="none" w:sz="0" w:space="0" w:color="auto"/>
                <w:bottom w:val="none" w:sz="0" w:space="0" w:color="auto"/>
                <w:right w:val="none" w:sz="0" w:space="0" w:color="auto"/>
              </w:divBdr>
              <w:divsChild>
                <w:div w:id="1781484440">
                  <w:marLeft w:val="0"/>
                  <w:marRight w:val="0"/>
                  <w:marTop w:val="0"/>
                  <w:marBottom w:val="0"/>
                  <w:divBdr>
                    <w:top w:val="none" w:sz="0" w:space="0" w:color="auto"/>
                    <w:left w:val="none" w:sz="0" w:space="0" w:color="auto"/>
                    <w:bottom w:val="none" w:sz="0" w:space="0" w:color="auto"/>
                    <w:right w:val="none" w:sz="0" w:space="0" w:color="auto"/>
                  </w:divBdr>
                  <w:divsChild>
                    <w:div w:id="927807224">
                      <w:marLeft w:val="0"/>
                      <w:marRight w:val="0"/>
                      <w:marTop w:val="0"/>
                      <w:marBottom w:val="0"/>
                      <w:divBdr>
                        <w:top w:val="none" w:sz="0" w:space="0" w:color="auto"/>
                        <w:left w:val="none" w:sz="0" w:space="0" w:color="auto"/>
                        <w:bottom w:val="none" w:sz="0" w:space="0" w:color="auto"/>
                        <w:right w:val="none" w:sz="0" w:space="0" w:color="auto"/>
                      </w:divBdr>
                      <w:divsChild>
                        <w:div w:id="1489513997">
                          <w:marLeft w:val="0"/>
                          <w:marRight w:val="0"/>
                          <w:marTop w:val="0"/>
                          <w:marBottom w:val="0"/>
                          <w:divBdr>
                            <w:top w:val="none" w:sz="0" w:space="0" w:color="auto"/>
                            <w:left w:val="none" w:sz="0" w:space="0" w:color="auto"/>
                            <w:bottom w:val="none" w:sz="0" w:space="0" w:color="auto"/>
                            <w:right w:val="none" w:sz="0" w:space="0" w:color="auto"/>
                          </w:divBdr>
                          <w:divsChild>
                            <w:div w:id="2138058010">
                              <w:marLeft w:val="0"/>
                              <w:marRight w:val="0"/>
                              <w:marTop w:val="0"/>
                              <w:marBottom w:val="0"/>
                              <w:divBdr>
                                <w:top w:val="none" w:sz="0" w:space="0" w:color="auto"/>
                                <w:left w:val="none" w:sz="0" w:space="0" w:color="auto"/>
                                <w:bottom w:val="none" w:sz="0" w:space="0" w:color="auto"/>
                                <w:right w:val="none" w:sz="0" w:space="0" w:color="auto"/>
                              </w:divBdr>
                              <w:divsChild>
                                <w:div w:id="940186049">
                                  <w:marLeft w:val="0"/>
                                  <w:marRight w:val="0"/>
                                  <w:marTop w:val="0"/>
                                  <w:marBottom w:val="0"/>
                                  <w:divBdr>
                                    <w:top w:val="none" w:sz="0" w:space="0" w:color="auto"/>
                                    <w:left w:val="none" w:sz="0" w:space="0" w:color="auto"/>
                                    <w:bottom w:val="none" w:sz="0" w:space="0" w:color="auto"/>
                                    <w:right w:val="none" w:sz="0" w:space="0" w:color="auto"/>
                                  </w:divBdr>
                                  <w:divsChild>
                                    <w:div w:id="440226630">
                                      <w:marLeft w:val="0"/>
                                      <w:marRight w:val="0"/>
                                      <w:marTop w:val="0"/>
                                      <w:marBottom w:val="0"/>
                                      <w:divBdr>
                                        <w:top w:val="none" w:sz="0" w:space="0" w:color="auto"/>
                                        <w:left w:val="none" w:sz="0" w:space="0" w:color="auto"/>
                                        <w:bottom w:val="none" w:sz="0" w:space="0" w:color="auto"/>
                                        <w:right w:val="none" w:sz="0" w:space="0" w:color="auto"/>
                                      </w:divBdr>
                                      <w:divsChild>
                                        <w:div w:id="1732267384">
                                          <w:marLeft w:val="0"/>
                                          <w:marRight w:val="0"/>
                                          <w:marTop w:val="0"/>
                                          <w:marBottom w:val="0"/>
                                          <w:divBdr>
                                            <w:top w:val="none" w:sz="0" w:space="0" w:color="auto"/>
                                            <w:left w:val="none" w:sz="0" w:space="0" w:color="auto"/>
                                            <w:bottom w:val="none" w:sz="0" w:space="0" w:color="auto"/>
                                            <w:right w:val="none" w:sz="0" w:space="0" w:color="auto"/>
                                          </w:divBdr>
                                          <w:divsChild>
                                            <w:div w:id="588348581">
                                              <w:marLeft w:val="0"/>
                                              <w:marRight w:val="0"/>
                                              <w:marTop w:val="0"/>
                                              <w:marBottom w:val="0"/>
                                              <w:divBdr>
                                                <w:top w:val="none" w:sz="0" w:space="0" w:color="auto"/>
                                                <w:left w:val="none" w:sz="0" w:space="0" w:color="auto"/>
                                                <w:bottom w:val="none" w:sz="0" w:space="0" w:color="auto"/>
                                                <w:right w:val="none" w:sz="0" w:space="0" w:color="auto"/>
                                              </w:divBdr>
                                              <w:divsChild>
                                                <w:div w:id="980228355">
                                                  <w:marLeft w:val="0"/>
                                                  <w:marRight w:val="90"/>
                                                  <w:marTop w:val="0"/>
                                                  <w:marBottom w:val="0"/>
                                                  <w:divBdr>
                                                    <w:top w:val="none" w:sz="0" w:space="0" w:color="auto"/>
                                                    <w:left w:val="none" w:sz="0" w:space="0" w:color="auto"/>
                                                    <w:bottom w:val="none" w:sz="0" w:space="0" w:color="auto"/>
                                                    <w:right w:val="none" w:sz="0" w:space="0" w:color="auto"/>
                                                  </w:divBdr>
                                                  <w:divsChild>
                                                    <w:div w:id="91166733">
                                                      <w:marLeft w:val="0"/>
                                                      <w:marRight w:val="0"/>
                                                      <w:marTop w:val="0"/>
                                                      <w:marBottom w:val="0"/>
                                                      <w:divBdr>
                                                        <w:top w:val="none" w:sz="0" w:space="0" w:color="auto"/>
                                                        <w:left w:val="none" w:sz="0" w:space="0" w:color="auto"/>
                                                        <w:bottom w:val="none" w:sz="0" w:space="0" w:color="auto"/>
                                                        <w:right w:val="none" w:sz="0" w:space="0" w:color="auto"/>
                                                      </w:divBdr>
                                                      <w:divsChild>
                                                        <w:div w:id="40638322">
                                                          <w:marLeft w:val="0"/>
                                                          <w:marRight w:val="0"/>
                                                          <w:marTop w:val="0"/>
                                                          <w:marBottom w:val="0"/>
                                                          <w:divBdr>
                                                            <w:top w:val="none" w:sz="0" w:space="0" w:color="auto"/>
                                                            <w:left w:val="none" w:sz="0" w:space="0" w:color="auto"/>
                                                            <w:bottom w:val="none" w:sz="0" w:space="0" w:color="auto"/>
                                                            <w:right w:val="none" w:sz="0" w:space="0" w:color="auto"/>
                                                          </w:divBdr>
                                                          <w:divsChild>
                                                            <w:div w:id="523328181">
                                                              <w:marLeft w:val="0"/>
                                                              <w:marRight w:val="0"/>
                                                              <w:marTop w:val="0"/>
                                                              <w:marBottom w:val="0"/>
                                                              <w:divBdr>
                                                                <w:top w:val="none" w:sz="0" w:space="0" w:color="auto"/>
                                                                <w:left w:val="none" w:sz="0" w:space="0" w:color="auto"/>
                                                                <w:bottom w:val="none" w:sz="0" w:space="0" w:color="auto"/>
                                                                <w:right w:val="none" w:sz="0" w:space="0" w:color="auto"/>
                                                              </w:divBdr>
                                                              <w:divsChild>
                                                                <w:div w:id="222496659">
                                                                  <w:marLeft w:val="0"/>
                                                                  <w:marRight w:val="0"/>
                                                                  <w:marTop w:val="0"/>
                                                                  <w:marBottom w:val="105"/>
                                                                  <w:divBdr>
                                                                    <w:top w:val="single" w:sz="6" w:space="0" w:color="EDEDED"/>
                                                                    <w:left w:val="single" w:sz="6" w:space="0" w:color="EDEDED"/>
                                                                    <w:bottom w:val="single" w:sz="6" w:space="0" w:color="EDEDED"/>
                                                                    <w:right w:val="single" w:sz="6" w:space="0" w:color="EDEDED"/>
                                                                  </w:divBdr>
                                                                  <w:divsChild>
                                                                    <w:div w:id="611402473">
                                                                      <w:marLeft w:val="0"/>
                                                                      <w:marRight w:val="0"/>
                                                                      <w:marTop w:val="0"/>
                                                                      <w:marBottom w:val="0"/>
                                                                      <w:divBdr>
                                                                        <w:top w:val="none" w:sz="0" w:space="0" w:color="auto"/>
                                                                        <w:left w:val="none" w:sz="0" w:space="0" w:color="auto"/>
                                                                        <w:bottom w:val="none" w:sz="0" w:space="0" w:color="auto"/>
                                                                        <w:right w:val="none" w:sz="0" w:space="0" w:color="auto"/>
                                                                      </w:divBdr>
                                                                      <w:divsChild>
                                                                        <w:div w:id="1243299682">
                                                                          <w:marLeft w:val="0"/>
                                                                          <w:marRight w:val="0"/>
                                                                          <w:marTop w:val="0"/>
                                                                          <w:marBottom w:val="0"/>
                                                                          <w:divBdr>
                                                                            <w:top w:val="none" w:sz="0" w:space="0" w:color="auto"/>
                                                                            <w:left w:val="none" w:sz="0" w:space="0" w:color="auto"/>
                                                                            <w:bottom w:val="none" w:sz="0" w:space="0" w:color="auto"/>
                                                                            <w:right w:val="none" w:sz="0" w:space="0" w:color="auto"/>
                                                                          </w:divBdr>
                                                                          <w:divsChild>
                                                                            <w:div w:id="690569059">
                                                                              <w:marLeft w:val="0"/>
                                                                              <w:marRight w:val="0"/>
                                                                              <w:marTop w:val="0"/>
                                                                              <w:marBottom w:val="0"/>
                                                                              <w:divBdr>
                                                                                <w:top w:val="none" w:sz="0" w:space="0" w:color="auto"/>
                                                                                <w:left w:val="none" w:sz="0" w:space="0" w:color="auto"/>
                                                                                <w:bottom w:val="none" w:sz="0" w:space="0" w:color="auto"/>
                                                                                <w:right w:val="none" w:sz="0" w:space="0" w:color="auto"/>
                                                                              </w:divBdr>
                                                                              <w:divsChild>
                                                                                <w:div w:id="1511333644">
                                                                                  <w:marLeft w:val="180"/>
                                                                                  <w:marRight w:val="180"/>
                                                                                  <w:marTop w:val="0"/>
                                                                                  <w:marBottom w:val="0"/>
                                                                                  <w:divBdr>
                                                                                    <w:top w:val="none" w:sz="0" w:space="0" w:color="auto"/>
                                                                                    <w:left w:val="none" w:sz="0" w:space="0" w:color="auto"/>
                                                                                    <w:bottom w:val="none" w:sz="0" w:space="0" w:color="auto"/>
                                                                                    <w:right w:val="none" w:sz="0" w:space="0" w:color="auto"/>
                                                                                  </w:divBdr>
                                                                                  <w:divsChild>
                                                                                    <w:div w:id="1719475304">
                                                                                      <w:marLeft w:val="0"/>
                                                                                      <w:marRight w:val="0"/>
                                                                                      <w:marTop w:val="0"/>
                                                                                      <w:marBottom w:val="0"/>
                                                                                      <w:divBdr>
                                                                                        <w:top w:val="none" w:sz="0" w:space="0" w:color="auto"/>
                                                                                        <w:left w:val="none" w:sz="0" w:space="0" w:color="auto"/>
                                                                                        <w:bottom w:val="none" w:sz="0" w:space="0" w:color="auto"/>
                                                                                        <w:right w:val="none" w:sz="0" w:space="0" w:color="auto"/>
                                                                                      </w:divBdr>
                                                                                      <w:divsChild>
                                                                                        <w:div w:id="1670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rad.or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User</cp:lastModifiedBy>
  <cp:revision>3</cp:revision>
  <cp:lastPrinted>2012-10-21T10:56:00Z</cp:lastPrinted>
  <dcterms:created xsi:type="dcterms:W3CDTF">2012-10-21T11:02:00Z</dcterms:created>
  <dcterms:modified xsi:type="dcterms:W3CDTF">2012-10-21T14:05:00Z</dcterms:modified>
</cp:coreProperties>
</file>